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45CC7" w14:textId="77777777" w:rsidR="00B3268B" w:rsidRPr="00B3268B" w:rsidRDefault="00B3268B" w:rsidP="00B3268B">
      <w:pPr>
        <w:tabs>
          <w:tab w:val="left" w:pos="4320"/>
        </w:tabs>
        <w:rPr>
          <w:b/>
          <w:sz w:val="34"/>
          <w:szCs w:val="34"/>
        </w:rPr>
      </w:pPr>
      <w:r w:rsidRPr="00B3268B">
        <w:rPr>
          <w:b/>
          <w:sz w:val="34"/>
          <w:szCs w:val="34"/>
        </w:rPr>
        <w:t>PENGARUH MEROKOK TERHADAP NILAI ARUS PUNCAK EKSPIRASI PADA PEKERJA SATUAN PENGAMANAN UNIVERSITAS PEMBANGUNAN NASIONAL “VETERAN” JAKARTA</w:t>
      </w:r>
    </w:p>
    <w:p w14:paraId="32C82A57" w14:textId="77777777" w:rsidR="00B3268B" w:rsidRDefault="00B3268B">
      <w:pPr>
        <w:pStyle w:val="Authors"/>
        <w:rPr>
          <w:lang w:val="id-ID"/>
        </w:rPr>
      </w:pPr>
    </w:p>
    <w:p w14:paraId="440D22BF" w14:textId="77777777" w:rsidR="009A0487" w:rsidRPr="00F73F13" w:rsidRDefault="00B3268B">
      <w:pPr>
        <w:pStyle w:val="Authors"/>
        <w:rPr>
          <w:lang w:val="id-ID"/>
        </w:rPr>
      </w:pPr>
      <w:r>
        <w:rPr>
          <w:lang w:val="en-US"/>
        </w:rPr>
        <w:t>Tissa Rafifah Ardiana</w:t>
      </w:r>
      <w:r w:rsidRPr="004E65EA">
        <w:rPr>
          <w:vertAlign w:val="superscript"/>
        </w:rPr>
        <w:t>1</w:t>
      </w:r>
      <w:r>
        <w:rPr>
          <w:lang w:val="en-US"/>
        </w:rPr>
        <w:t>M Djauhari Widjajakusumah</w:t>
      </w:r>
      <w:r>
        <w:rPr>
          <w:vertAlign w:val="superscript"/>
          <w:lang w:val="en-US"/>
        </w:rPr>
        <w:t>2</w:t>
      </w:r>
      <w:proofErr w:type="gramStart"/>
      <w:r w:rsidRPr="004E65EA">
        <w:t xml:space="preserve">, </w:t>
      </w:r>
      <w:r>
        <w:rPr>
          <w:lang w:val="en-US"/>
        </w:rPr>
        <w:t xml:space="preserve"> Fajriati</w:t>
      </w:r>
      <w:proofErr w:type="gramEnd"/>
      <w:r>
        <w:rPr>
          <w:lang w:val="en-US"/>
        </w:rPr>
        <w:t xml:space="preserve"> Zulfa</w:t>
      </w:r>
      <w:r w:rsidRPr="004E65EA">
        <w:rPr>
          <w:vertAlign w:val="superscript"/>
        </w:rPr>
        <w:t xml:space="preserve"> </w:t>
      </w:r>
      <w:r>
        <w:rPr>
          <w:vertAlign w:val="superscript"/>
          <w:lang w:val="en-US"/>
        </w:rPr>
        <w:t>3</w:t>
      </w:r>
    </w:p>
    <w:p w14:paraId="46FADCBE" w14:textId="77777777" w:rsidR="00B3268B" w:rsidRPr="004E65EA" w:rsidRDefault="00B3268B" w:rsidP="0066480C">
      <w:pPr>
        <w:ind w:firstLine="1418"/>
      </w:pPr>
      <w:r w:rsidRPr="00B3268B">
        <w:rPr>
          <w:vertAlign w:val="superscript"/>
        </w:rPr>
        <w:t>1</w:t>
      </w:r>
      <w:r w:rsidRPr="004E65EA">
        <w:t>Program Studi Sarjana Kedokteran, FK UPN “Veteran” Jakarta</w:t>
      </w:r>
    </w:p>
    <w:p w14:paraId="20F33952" w14:textId="77777777" w:rsidR="00B3268B" w:rsidRPr="00696BA8" w:rsidRDefault="00B3268B" w:rsidP="0066480C">
      <w:pPr>
        <w:ind w:firstLine="1418"/>
      </w:pPr>
      <w:r w:rsidRPr="00B3268B">
        <w:rPr>
          <w:vertAlign w:val="superscript"/>
        </w:rPr>
        <w:t>2</w:t>
      </w:r>
      <w:r w:rsidRPr="00696BA8">
        <w:t>Departemen</w:t>
      </w:r>
      <w:r>
        <w:rPr>
          <w:lang w:val="en-US"/>
        </w:rPr>
        <w:t xml:space="preserve"> Fisiologi</w:t>
      </w:r>
      <w:r w:rsidRPr="00696BA8">
        <w:t>, FK UPN “Veteran” Jakarta</w:t>
      </w:r>
    </w:p>
    <w:p w14:paraId="2DEABF87" w14:textId="77777777" w:rsidR="00B3268B" w:rsidRPr="004E65EA" w:rsidRDefault="00B3268B" w:rsidP="0066480C">
      <w:pPr>
        <w:ind w:firstLine="1418"/>
      </w:pPr>
      <w:r w:rsidRPr="00B3268B">
        <w:rPr>
          <w:vertAlign w:val="superscript"/>
          <w:lang w:val="en-US"/>
        </w:rPr>
        <w:t>3</w:t>
      </w:r>
      <w:r>
        <w:rPr>
          <w:lang w:val="en-US"/>
        </w:rPr>
        <w:t>Departement Ilmu Parasitologi</w:t>
      </w:r>
      <w:r w:rsidRPr="00696BA8">
        <w:rPr>
          <w:lang w:val="en-US"/>
        </w:rPr>
        <w:t xml:space="preserve">, </w:t>
      </w:r>
      <w:r w:rsidRPr="00696BA8">
        <w:t>FK UPN “Veteran” Jakarta</w:t>
      </w:r>
    </w:p>
    <w:p w14:paraId="21C2757D" w14:textId="77777777" w:rsidR="00006EA6" w:rsidRPr="00B3268B" w:rsidRDefault="00B3268B" w:rsidP="0066480C">
      <w:pPr>
        <w:ind w:firstLine="1418"/>
      </w:pPr>
      <w:r w:rsidRPr="004E65EA">
        <w:t>Jl. RS Fatmawati, Pondok Labu, Jakarta Selatan 12450, Telp. (021) 7656971</w:t>
      </w:r>
    </w:p>
    <w:p w14:paraId="3C21EEEA" w14:textId="77777777" w:rsidR="00B3268B" w:rsidRDefault="00B3268B" w:rsidP="00F23201">
      <w:pPr>
        <w:pStyle w:val="E-mail"/>
        <w:spacing w:after="0"/>
      </w:pPr>
    </w:p>
    <w:p w14:paraId="7CD74AD1" w14:textId="77777777" w:rsidR="00F23201" w:rsidRPr="0066480C" w:rsidRDefault="00D17EFE" w:rsidP="00F23201">
      <w:pPr>
        <w:pStyle w:val="E-mail"/>
        <w:spacing w:after="0"/>
        <w:rPr>
          <w:lang w:val="id-ID"/>
        </w:rPr>
      </w:pPr>
      <w:hyperlink r:id="rId8" w:history="1">
        <w:r w:rsidR="00B3268B" w:rsidRPr="0066480C">
          <w:rPr>
            <w:rStyle w:val="Hyperlink"/>
            <w:color w:val="auto"/>
            <w:u w:val="none"/>
            <w:lang w:val="id-ID"/>
          </w:rPr>
          <w:t>*tissa.ardiana@gmail.com</w:t>
        </w:r>
      </w:hyperlink>
    </w:p>
    <w:p w14:paraId="6A5E1C86" w14:textId="77777777" w:rsidR="009A0487" w:rsidRPr="006576C0" w:rsidRDefault="00F23201">
      <w:pPr>
        <w:pStyle w:val="E-mail"/>
        <w:rPr>
          <w:lang w:val="id-ID"/>
        </w:rPr>
      </w:pPr>
      <w:r w:rsidRPr="00F23201">
        <w:rPr>
          <w:lang w:val="id-ID"/>
        </w:rPr>
        <w:t>**</w:t>
      </w:r>
      <w:r w:rsidR="00B3268B">
        <w:rPr>
          <w:lang w:val="id-ID"/>
        </w:rPr>
        <w:t>dr.djauhari</w:t>
      </w:r>
      <w:r>
        <w:rPr>
          <w:lang w:val="id-ID"/>
        </w:rPr>
        <w:t>@yahoo.com</w:t>
      </w:r>
    </w:p>
    <w:p w14:paraId="37793066" w14:textId="77777777" w:rsidR="00B3268B" w:rsidRPr="0066480C" w:rsidRDefault="00A35613" w:rsidP="00B3268B">
      <w:pPr>
        <w:ind w:left="1418"/>
        <w:jc w:val="both"/>
        <w:rPr>
          <w:rFonts w:ascii="Times New Roman" w:hAnsi="Times New Roman"/>
          <w:sz w:val="20"/>
        </w:rPr>
      </w:pPr>
      <w:r w:rsidRPr="0066480C">
        <w:rPr>
          <w:rFonts w:ascii="Times New Roman" w:hAnsi="Times New Roman"/>
          <w:b/>
          <w:sz w:val="20"/>
        </w:rPr>
        <w:t>Abst</w:t>
      </w:r>
      <w:r w:rsidR="000D6C7D" w:rsidRPr="0066480C">
        <w:rPr>
          <w:rFonts w:ascii="Times New Roman" w:hAnsi="Times New Roman"/>
          <w:b/>
          <w:sz w:val="20"/>
          <w:lang w:val="id-ID"/>
        </w:rPr>
        <w:t>ract</w:t>
      </w:r>
      <w:r w:rsidR="000D6C7D" w:rsidRPr="0066480C">
        <w:rPr>
          <w:rFonts w:ascii="Times New Roman" w:hAnsi="Times New Roman"/>
          <w:sz w:val="20"/>
        </w:rPr>
        <w:t>.</w:t>
      </w:r>
      <w:r w:rsidR="000D6C7D" w:rsidRPr="0066480C">
        <w:rPr>
          <w:rFonts w:ascii="Times New Roman" w:hAnsi="Times New Roman"/>
          <w:sz w:val="20"/>
          <w:lang w:val="id-ID"/>
        </w:rPr>
        <w:t xml:space="preserve"> </w:t>
      </w:r>
      <w:r w:rsidR="00B3268B" w:rsidRPr="0066480C">
        <w:rPr>
          <w:rFonts w:ascii="Times New Roman" w:hAnsi="Times New Roman"/>
          <w:sz w:val="20"/>
        </w:rPr>
        <w:t>Cigarette caused chronic bronchitis, emphysema, and COPD. Smoking cigarette for a long time and the amount of cigarette consumed a day can affected physiological function of respiratory system which can be assested by peak expiratory flow. Nicotine in cigarette also can affected body mass Index and peak expiratory flow as well. This research wants to know the impact of cigarette and body mass index to peak expiratory score to security workers in UPN “Veteran” Jakarta. This is an observational analysis with cross sectional design and consecutive sampling and analyzed with chi-square. The analysis showed that there was a significant effect of cigarette to peak expiratory flow score (OR = 6.591; 95% CI = 1.111 to 39.108; p = 0.036), but not had a significant effect of BMI to peak expiratory flow score (OR = 1.043; 95% CI = 0.260 – 4.183; p = 0.621).</w:t>
      </w:r>
    </w:p>
    <w:p w14:paraId="3F428C3A" w14:textId="77777777" w:rsidR="000D6C7D" w:rsidRPr="0066480C" w:rsidRDefault="000D6C7D" w:rsidP="000D6C7D">
      <w:pPr>
        <w:pStyle w:val="Abstract"/>
        <w:spacing w:after="240"/>
        <w:rPr>
          <w:rFonts w:ascii="Times New Roman" w:hAnsi="Times New Roman"/>
          <w:lang w:val="id-ID"/>
        </w:rPr>
      </w:pPr>
      <w:r w:rsidRPr="0066480C">
        <w:rPr>
          <w:rFonts w:ascii="Times New Roman" w:hAnsi="Times New Roman"/>
          <w:lang w:val="id-ID"/>
        </w:rPr>
        <w:t xml:space="preserve"> </w:t>
      </w:r>
    </w:p>
    <w:p w14:paraId="770A585F" w14:textId="77777777" w:rsidR="000D6C7D" w:rsidRPr="0066480C" w:rsidRDefault="000D6C7D" w:rsidP="00B3268B">
      <w:pPr>
        <w:pStyle w:val="Abstract"/>
        <w:ind w:left="2410" w:hanging="992"/>
        <w:rPr>
          <w:rFonts w:ascii="Times New Roman" w:hAnsi="Times New Roman"/>
          <w:lang w:val="id-ID"/>
        </w:rPr>
      </w:pPr>
      <w:r w:rsidRPr="0066480C">
        <w:rPr>
          <w:rFonts w:ascii="Times New Roman" w:hAnsi="Times New Roman"/>
          <w:lang w:val="id-ID"/>
        </w:rPr>
        <w:t xml:space="preserve">Keywords: </w:t>
      </w:r>
      <w:r w:rsidR="00B3268B" w:rsidRPr="0066480C">
        <w:rPr>
          <w:rFonts w:ascii="Times New Roman" w:hAnsi="Times New Roman"/>
        </w:rPr>
        <w:t>Body Mass Index, Brinkman Index, Cigarette, Peak Expiratory Flow,  Peak Flow Meter.</w:t>
      </w:r>
    </w:p>
    <w:p w14:paraId="62ED2367" w14:textId="77777777" w:rsidR="00B3268B" w:rsidRPr="00B3268B" w:rsidRDefault="006576C0" w:rsidP="00B3268B">
      <w:pPr>
        <w:pStyle w:val="Section"/>
        <w:ind w:left="0"/>
        <w:rPr>
          <w:lang w:val="id-ID"/>
        </w:rPr>
      </w:pPr>
      <w:r>
        <w:rPr>
          <w:lang w:val="id-ID"/>
        </w:rPr>
        <w:t>Pendahuluan</w:t>
      </w:r>
    </w:p>
    <w:p w14:paraId="3E742007" w14:textId="77777777" w:rsidR="00B3268B" w:rsidRDefault="00B3268B" w:rsidP="00B3268B">
      <w:pPr>
        <w:ind w:firstLine="567"/>
        <w:jc w:val="both"/>
        <w:rPr>
          <w:szCs w:val="24"/>
        </w:rPr>
      </w:pPr>
      <w:r w:rsidRPr="00C725D0">
        <w:rPr>
          <w:szCs w:val="24"/>
        </w:rPr>
        <w:t xml:space="preserve">Menurut data </w:t>
      </w:r>
      <w:r w:rsidRPr="00C725D0">
        <w:rPr>
          <w:i/>
          <w:szCs w:val="24"/>
        </w:rPr>
        <w:t xml:space="preserve">World Health Organization </w:t>
      </w:r>
      <w:r w:rsidRPr="00C725D0">
        <w:rPr>
          <w:szCs w:val="24"/>
        </w:rPr>
        <w:t>(WHO) tahun 2013 menunjukan bahwa prevalensi perokok aktif di dunia saat i</w:t>
      </w:r>
      <w:r>
        <w:rPr>
          <w:szCs w:val="24"/>
        </w:rPr>
        <w:t>ni mencapai 17</w:t>
      </w:r>
      <w:proofErr w:type="gramStart"/>
      <w:r>
        <w:rPr>
          <w:szCs w:val="24"/>
        </w:rPr>
        <w:t>,4</w:t>
      </w:r>
      <w:proofErr w:type="gramEnd"/>
      <w:r>
        <w:rPr>
          <w:szCs w:val="24"/>
        </w:rPr>
        <w:t>% jiwa.</w:t>
      </w:r>
      <w:r w:rsidR="00011F0B" w:rsidRPr="00905A1A">
        <w:rPr>
          <w:szCs w:val="24"/>
          <w:vertAlign w:val="superscript"/>
        </w:rPr>
        <w:t>[1]</w:t>
      </w:r>
      <w:r w:rsidRPr="00905A1A">
        <w:rPr>
          <w:szCs w:val="24"/>
          <w:vertAlign w:val="superscript"/>
        </w:rPr>
        <w:t xml:space="preserve"> </w:t>
      </w:r>
      <w:r w:rsidRPr="00C725D0">
        <w:rPr>
          <w:szCs w:val="24"/>
        </w:rPr>
        <w:t>Ris</w:t>
      </w:r>
      <w:r>
        <w:rPr>
          <w:szCs w:val="24"/>
        </w:rPr>
        <w:t xml:space="preserve">et Kesehatan Dasar (2013) mengatakan </w:t>
      </w:r>
      <w:r w:rsidRPr="00C725D0">
        <w:rPr>
          <w:szCs w:val="24"/>
        </w:rPr>
        <w:t>di Indonesia perilaku merokok penduduk berusia 15 tahun ke atas tidak terjadi penurunan dari 2007 ke 2013, cenderung meningkat dari 34,2% tahun 2007 menjadi 36,3% tahun 2013</w:t>
      </w:r>
      <w:r>
        <w:rPr>
          <w:szCs w:val="24"/>
        </w:rPr>
        <w:t xml:space="preserve"> dengan rata-rata 12,3 batang rokok dikonsumsi perorang perhari</w:t>
      </w:r>
      <w:r w:rsidRPr="00C725D0">
        <w:rPr>
          <w:szCs w:val="24"/>
        </w:rPr>
        <w:t xml:space="preserve"> (</w:t>
      </w:r>
      <w:r>
        <w:rPr>
          <w:szCs w:val="24"/>
        </w:rPr>
        <w:t>RISKESDAS</w:t>
      </w:r>
      <w:r w:rsidRPr="00C725D0">
        <w:rPr>
          <w:szCs w:val="24"/>
        </w:rPr>
        <w:t>, 2013).</w:t>
      </w:r>
      <w:r>
        <w:rPr>
          <w:szCs w:val="24"/>
        </w:rPr>
        <w:t xml:space="preserve"> Peningkatan jumlah perokok di Indonesia didasarkan oleh fakta bahwa Indonesia adalah produsen daun tembakau terbesar yang memudahkan akses penduduk Indonesia untuk mendapatkan rokok dan di Indonesia harga rokok terbilang cukup terjangkau rata-rata harga Rp. 60</w:t>
      </w:r>
      <w:r w:rsidR="00011F0B">
        <w:rPr>
          <w:szCs w:val="24"/>
        </w:rPr>
        <w:t>0</w:t>
      </w:r>
      <w:proofErr w:type="gramStart"/>
      <w:r w:rsidR="00011F0B">
        <w:rPr>
          <w:szCs w:val="24"/>
        </w:rPr>
        <w:t>,00</w:t>
      </w:r>
      <w:proofErr w:type="gramEnd"/>
      <w:r w:rsidR="00011F0B">
        <w:rPr>
          <w:szCs w:val="24"/>
        </w:rPr>
        <w:t xml:space="preserve"> perbatang</w:t>
      </w:r>
      <w:r>
        <w:rPr>
          <w:szCs w:val="24"/>
        </w:rPr>
        <w:t>.</w:t>
      </w:r>
      <w:r w:rsidR="00011F0B" w:rsidRPr="00905A1A">
        <w:rPr>
          <w:szCs w:val="24"/>
          <w:vertAlign w:val="superscript"/>
        </w:rPr>
        <w:t>[2]</w:t>
      </w:r>
      <w:r>
        <w:rPr>
          <w:szCs w:val="24"/>
        </w:rPr>
        <w:t xml:space="preserve"> </w:t>
      </w:r>
    </w:p>
    <w:p w14:paraId="07FD7ED1" w14:textId="77777777" w:rsidR="00B3268B" w:rsidRPr="00E5457B" w:rsidRDefault="00B3268B" w:rsidP="00B3268B">
      <w:pPr>
        <w:ind w:firstLine="567"/>
        <w:jc w:val="both"/>
        <w:rPr>
          <w:szCs w:val="24"/>
        </w:rPr>
      </w:pPr>
      <w:r>
        <w:rPr>
          <w:szCs w:val="24"/>
        </w:rPr>
        <w:t xml:space="preserve">Menurut </w:t>
      </w:r>
      <w:r w:rsidR="00011F0B">
        <w:rPr>
          <w:szCs w:val="24"/>
        </w:rPr>
        <w:t xml:space="preserve">Schulger, </w:t>
      </w:r>
      <w:r w:rsidR="00011F0B" w:rsidRPr="00011F0B">
        <w:rPr>
          <w:i/>
          <w:szCs w:val="24"/>
        </w:rPr>
        <w:t>dkk</w:t>
      </w:r>
      <w:r w:rsidRPr="00C725D0">
        <w:rPr>
          <w:i/>
          <w:szCs w:val="24"/>
        </w:rPr>
        <w:t xml:space="preserve"> </w:t>
      </w:r>
      <w:r w:rsidR="00011F0B">
        <w:rPr>
          <w:szCs w:val="24"/>
        </w:rPr>
        <w:t>(2018</w:t>
      </w:r>
      <w:r w:rsidRPr="00AC56FB">
        <w:rPr>
          <w:szCs w:val="24"/>
        </w:rPr>
        <w:t>)</w:t>
      </w:r>
      <w:r w:rsidRPr="00C725D0">
        <w:rPr>
          <w:szCs w:val="24"/>
        </w:rPr>
        <w:t xml:space="preserve"> Indonesia adalah negara ketiga dengan jumlah perokok terbesar setelah China dan India.</w:t>
      </w:r>
      <w:r w:rsidR="00011F0B" w:rsidRPr="00905A1A">
        <w:rPr>
          <w:szCs w:val="24"/>
          <w:vertAlign w:val="superscript"/>
        </w:rPr>
        <w:t>[3]</w:t>
      </w:r>
      <w:r w:rsidRPr="00C725D0">
        <w:rPr>
          <w:szCs w:val="24"/>
        </w:rPr>
        <w:t xml:space="preserve"> </w:t>
      </w:r>
      <w:r w:rsidRPr="00C725D0">
        <w:rPr>
          <w:i/>
          <w:szCs w:val="24"/>
        </w:rPr>
        <w:t xml:space="preserve">World Health Organization </w:t>
      </w:r>
      <w:r>
        <w:rPr>
          <w:szCs w:val="24"/>
        </w:rPr>
        <w:t xml:space="preserve">(WHO) memperkirakan pada </w:t>
      </w:r>
      <w:r w:rsidRPr="00C725D0">
        <w:rPr>
          <w:szCs w:val="24"/>
        </w:rPr>
        <w:t>tahun 2030 diperkirakan angka kematian perokok di dunia akan mencapai 10 juta jiwa dan 70% nya berasal dari negara berkembang.</w:t>
      </w:r>
      <w:r w:rsidR="00011F0B" w:rsidRPr="00905A1A">
        <w:rPr>
          <w:szCs w:val="24"/>
          <w:vertAlign w:val="superscript"/>
        </w:rPr>
        <w:t>[1]</w:t>
      </w:r>
    </w:p>
    <w:p w14:paraId="22F6DC56" w14:textId="77777777" w:rsidR="00B3268B" w:rsidRDefault="00B3268B" w:rsidP="00B3268B">
      <w:pPr>
        <w:ind w:firstLine="567"/>
        <w:jc w:val="both"/>
        <w:rPr>
          <w:szCs w:val="24"/>
        </w:rPr>
      </w:pPr>
      <w:r w:rsidRPr="00C725D0">
        <w:rPr>
          <w:szCs w:val="24"/>
        </w:rPr>
        <w:t>Merokok adalah sebuah kebiasaan yang dapat memberikan kenikmatan bagi perokok, namun dilain pihak dapat menimbulkan dampak buruk baik bagi perokok itu sendiri maupun orang-orang</w:t>
      </w:r>
      <w:r w:rsidR="00011F0B">
        <w:rPr>
          <w:szCs w:val="24"/>
        </w:rPr>
        <w:t xml:space="preserve"> disekitarnya</w:t>
      </w:r>
      <w:proofErr w:type="gramStart"/>
      <w:r>
        <w:rPr>
          <w:szCs w:val="24"/>
        </w:rPr>
        <w:t>.</w:t>
      </w:r>
      <w:r w:rsidR="00011F0B" w:rsidRPr="00905A1A">
        <w:rPr>
          <w:szCs w:val="24"/>
          <w:vertAlign w:val="superscript"/>
        </w:rPr>
        <w:t>[</w:t>
      </w:r>
      <w:proofErr w:type="gramEnd"/>
      <w:r w:rsidR="00011F0B" w:rsidRPr="00905A1A">
        <w:rPr>
          <w:szCs w:val="24"/>
          <w:vertAlign w:val="superscript"/>
        </w:rPr>
        <w:t>4]</w:t>
      </w:r>
      <w:r>
        <w:rPr>
          <w:szCs w:val="24"/>
        </w:rPr>
        <w:t xml:space="preserve"> </w:t>
      </w:r>
      <w:r w:rsidRPr="00C725D0">
        <w:rPr>
          <w:szCs w:val="24"/>
        </w:rPr>
        <w:t>Merokok dapat di kategorikan menjadi 3 derajat</w:t>
      </w:r>
      <w:r>
        <w:rPr>
          <w:szCs w:val="24"/>
        </w:rPr>
        <w:t xml:space="preserve"> berdasarkan </w:t>
      </w:r>
      <w:r w:rsidRPr="00214114">
        <w:rPr>
          <w:i/>
          <w:szCs w:val="24"/>
        </w:rPr>
        <w:t>Brinkman Index</w:t>
      </w:r>
      <w:r>
        <w:rPr>
          <w:szCs w:val="24"/>
        </w:rPr>
        <w:t xml:space="preserve">. </w:t>
      </w:r>
      <w:r w:rsidRPr="00C725D0">
        <w:rPr>
          <w:i/>
          <w:szCs w:val="24"/>
        </w:rPr>
        <w:t>Brinkman Index</w:t>
      </w:r>
      <w:r w:rsidRPr="00C725D0">
        <w:rPr>
          <w:szCs w:val="24"/>
        </w:rPr>
        <w:t xml:space="preserve"> adalah hasil perkalian antara lama merokok dengan rata-rata jumlah rokok yang di hisap perhari. Jika hasilnya kurang dari 200 dikatakan perokok ringan, jika hasilnya antara 200-599 dikatakan perokok sedang, dan jika hasilnya lebih dari 600 dikatakan perokok berat. Semakin lama </w:t>
      </w:r>
      <w:r w:rsidRPr="00C725D0">
        <w:rPr>
          <w:szCs w:val="24"/>
        </w:rPr>
        <w:lastRenderedPageBreak/>
        <w:t>seseorang merokok dan semakin banyak rokok yang dihisap perhari, maka derajat merokok</w:t>
      </w:r>
      <w:r w:rsidR="00011F0B">
        <w:rPr>
          <w:szCs w:val="24"/>
        </w:rPr>
        <w:t xml:space="preserve"> akan semakin besar</w:t>
      </w:r>
      <w:proofErr w:type="gramStart"/>
      <w:r w:rsidRPr="00C725D0">
        <w:rPr>
          <w:szCs w:val="24"/>
        </w:rPr>
        <w:t>.</w:t>
      </w:r>
      <w:r w:rsidR="00011F0B" w:rsidRPr="00905A1A">
        <w:rPr>
          <w:szCs w:val="24"/>
          <w:vertAlign w:val="superscript"/>
        </w:rPr>
        <w:t>[</w:t>
      </w:r>
      <w:proofErr w:type="gramEnd"/>
      <w:r w:rsidR="00011F0B" w:rsidRPr="00905A1A">
        <w:rPr>
          <w:szCs w:val="24"/>
          <w:vertAlign w:val="superscript"/>
        </w:rPr>
        <w:t>5]</w:t>
      </w:r>
    </w:p>
    <w:p w14:paraId="736FA2DC" w14:textId="77777777" w:rsidR="00B3268B" w:rsidRDefault="00B3268B" w:rsidP="00B3268B">
      <w:pPr>
        <w:ind w:firstLine="567"/>
        <w:jc w:val="both"/>
        <w:rPr>
          <w:szCs w:val="24"/>
          <w:lang w:eastAsia="id-ID"/>
        </w:rPr>
      </w:pPr>
      <w:r w:rsidRPr="00C725D0">
        <w:rPr>
          <w:szCs w:val="24"/>
        </w:rPr>
        <w:t xml:space="preserve">Pengertian rokok menurut PP No. 81/1999 pasal 1 ayat 1 adalah hasil olahan tembakau terbungkus termasuk cerutu atau bentuk lainnya yang dihasilkan dari tanaman </w:t>
      </w:r>
      <w:r w:rsidRPr="00AD1E2D">
        <w:rPr>
          <w:i/>
          <w:szCs w:val="24"/>
        </w:rPr>
        <w:t>Nicotiana tabacum</w:t>
      </w:r>
      <w:r w:rsidRPr="00C725D0">
        <w:rPr>
          <w:szCs w:val="24"/>
        </w:rPr>
        <w:t xml:space="preserve">, </w:t>
      </w:r>
      <w:r w:rsidRPr="00AD1E2D">
        <w:rPr>
          <w:i/>
          <w:szCs w:val="24"/>
        </w:rPr>
        <w:t>Nicotiana rustica</w:t>
      </w:r>
      <w:r w:rsidRPr="00C725D0">
        <w:rPr>
          <w:szCs w:val="24"/>
        </w:rPr>
        <w:t xml:space="preserve"> dan spesies lainnya atau sintetisnya yang mengandung nikotin dan tar dengan atau tanpa bahan tambahan</w:t>
      </w:r>
      <w:proofErr w:type="gramStart"/>
      <w:r w:rsidRPr="00C725D0">
        <w:rPr>
          <w:szCs w:val="24"/>
        </w:rPr>
        <w:t>.</w:t>
      </w:r>
      <w:r w:rsidR="00011F0B" w:rsidRPr="00905A1A">
        <w:rPr>
          <w:szCs w:val="24"/>
          <w:vertAlign w:val="superscript"/>
        </w:rPr>
        <w:t>[</w:t>
      </w:r>
      <w:proofErr w:type="gramEnd"/>
      <w:r w:rsidR="00011F0B" w:rsidRPr="00905A1A">
        <w:rPr>
          <w:szCs w:val="24"/>
          <w:vertAlign w:val="superscript"/>
        </w:rPr>
        <w:t>6]</w:t>
      </w:r>
      <w:r w:rsidRPr="00C725D0">
        <w:rPr>
          <w:szCs w:val="24"/>
        </w:rPr>
        <w:t xml:space="preserve"> Rokok mengandung </w:t>
      </w:r>
      <w:r>
        <w:rPr>
          <w:szCs w:val="24"/>
          <w:lang w:eastAsia="id-ID"/>
        </w:rPr>
        <w:t>lebih dari 4.000 jenis</w:t>
      </w:r>
      <w:r w:rsidRPr="00C725D0">
        <w:rPr>
          <w:szCs w:val="24"/>
          <w:lang w:eastAsia="id-ID"/>
        </w:rPr>
        <w:t xml:space="preserve"> bahan kimia</w:t>
      </w:r>
      <w:r>
        <w:rPr>
          <w:szCs w:val="24"/>
          <w:lang w:eastAsia="id-ID"/>
        </w:rPr>
        <w:t xml:space="preserve"> beracun, termasuk setidaknya 40</w:t>
      </w:r>
      <w:r w:rsidRPr="00C725D0">
        <w:rPr>
          <w:szCs w:val="24"/>
          <w:lang w:eastAsia="id-ID"/>
        </w:rPr>
        <w:t xml:space="preserve"> karsinogen yang dikenal dapat merusak hampir setiap sistem organ dalam tubuh manusia. </w:t>
      </w:r>
      <w:r>
        <w:rPr>
          <w:szCs w:val="24"/>
          <w:lang w:eastAsia="id-ID"/>
        </w:rPr>
        <w:t xml:space="preserve">Zat karsinogen yang terkandung dalam rokok dapat membuat paru mengalami peradangan berat dan meningkatkan penyempitan pada </w:t>
      </w:r>
      <w:r w:rsidR="00011F0B">
        <w:rPr>
          <w:szCs w:val="24"/>
          <w:lang w:eastAsia="id-ID"/>
        </w:rPr>
        <w:t>saluran pernapasan</w:t>
      </w:r>
      <w:proofErr w:type="gramStart"/>
      <w:r>
        <w:rPr>
          <w:szCs w:val="24"/>
          <w:lang w:eastAsia="id-ID"/>
        </w:rPr>
        <w:t>.</w:t>
      </w:r>
      <w:r w:rsidR="00011F0B" w:rsidRPr="00905A1A">
        <w:rPr>
          <w:szCs w:val="24"/>
          <w:vertAlign w:val="superscript"/>
          <w:lang w:eastAsia="id-ID"/>
        </w:rPr>
        <w:t>[</w:t>
      </w:r>
      <w:proofErr w:type="gramEnd"/>
      <w:r w:rsidR="00011F0B" w:rsidRPr="00905A1A">
        <w:rPr>
          <w:szCs w:val="24"/>
          <w:vertAlign w:val="superscript"/>
          <w:lang w:eastAsia="id-ID"/>
        </w:rPr>
        <w:t>7]</w:t>
      </w:r>
      <w:r>
        <w:rPr>
          <w:szCs w:val="24"/>
          <w:lang w:eastAsia="id-ID"/>
        </w:rPr>
        <w:t xml:space="preserve"> </w:t>
      </w:r>
      <w:r w:rsidRPr="00C725D0">
        <w:rPr>
          <w:szCs w:val="24"/>
          <w:lang w:eastAsia="id-ID"/>
        </w:rPr>
        <w:t xml:space="preserve"> </w:t>
      </w:r>
    </w:p>
    <w:p w14:paraId="1CC7C70A" w14:textId="77777777" w:rsidR="00B3268B" w:rsidRDefault="00B3268B" w:rsidP="00B3268B">
      <w:pPr>
        <w:ind w:firstLine="567"/>
        <w:jc w:val="both"/>
        <w:rPr>
          <w:szCs w:val="24"/>
          <w:lang w:eastAsia="id-ID"/>
        </w:rPr>
      </w:pPr>
      <w:r>
        <w:rPr>
          <w:szCs w:val="24"/>
          <w:lang w:eastAsia="id-ID"/>
        </w:rPr>
        <w:t xml:space="preserve">Peran satuan pengamanan atau satpam merupakan salah satu contoh lingkungan kerja yang memiliki resiko penurunan fungsi pernapasan karena rata-rata pekerja satpam di Indonesia adalah perokok. Pekerja satpam rentan terhadap masalah kesehatan karena jam kerjanya yang menuntut untuk selalu dalam keadaan siaga, kurangnya jam tidur atau istirahat, lokasi kerja yang terpapar banyak polutan, dan ditambah dengan kebiasaan merokok. Meskipun sudah diberlakukannya sistem pembagian jam kerja atau </w:t>
      </w:r>
      <w:r w:rsidRPr="00F617BB">
        <w:rPr>
          <w:i/>
          <w:szCs w:val="24"/>
          <w:lang w:eastAsia="id-ID"/>
        </w:rPr>
        <w:t>shift</w:t>
      </w:r>
      <w:r>
        <w:rPr>
          <w:szCs w:val="24"/>
          <w:lang w:eastAsia="id-ID"/>
        </w:rPr>
        <w:t xml:space="preserve">, tidak menutup kemungkinan pekerja satpam akan mengalami masalah kesehatan yaitu penurunan fungsi paru </w:t>
      </w:r>
      <w:r w:rsidRPr="00C725D0">
        <w:rPr>
          <w:szCs w:val="24"/>
          <w:lang w:eastAsia="id-ID"/>
        </w:rPr>
        <w:t>akibat paparan zat berbahaya yang berkepanjangan pada rokok dapat menyebabkan penyakit pada saluran pernapasan seperti asma, bronkitis, emfisema, dan penyakit paru obstruktif kronik.</w:t>
      </w:r>
      <w:r w:rsidR="00011F0B" w:rsidRPr="00905A1A">
        <w:rPr>
          <w:szCs w:val="24"/>
          <w:vertAlign w:val="superscript"/>
          <w:lang w:eastAsia="id-ID"/>
        </w:rPr>
        <w:t>[8]</w:t>
      </w:r>
      <w:r w:rsidRPr="00C725D0">
        <w:rPr>
          <w:szCs w:val="24"/>
          <w:lang w:eastAsia="id-ID"/>
        </w:rPr>
        <w:t xml:space="preserve"> </w:t>
      </w:r>
    </w:p>
    <w:p w14:paraId="372B7A83" w14:textId="77777777" w:rsidR="00B3268B" w:rsidRDefault="00B3268B" w:rsidP="00B3268B">
      <w:pPr>
        <w:ind w:firstLine="567"/>
        <w:jc w:val="both"/>
        <w:rPr>
          <w:szCs w:val="24"/>
          <w:lang w:eastAsia="id-ID"/>
        </w:rPr>
      </w:pPr>
      <w:r>
        <w:rPr>
          <w:szCs w:val="24"/>
          <w:lang w:eastAsia="id-ID"/>
        </w:rPr>
        <w:t xml:space="preserve">Fungsi pernapasan bisa diukur dengan alat spirometer (bila spirometer tidak tersedia dapat digunakan </w:t>
      </w:r>
      <w:r w:rsidRPr="00CB4523">
        <w:rPr>
          <w:i/>
          <w:szCs w:val="24"/>
          <w:lang w:eastAsia="id-ID"/>
        </w:rPr>
        <w:t>Peak Flow Meter</w:t>
      </w:r>
      <w:r w:rsidR="002B42FF">
        <w:rPr>
          <w:szCs w:val="24"/>
          <w:lang w:eastAsia="id-ID"/>
        </w:rPr>
        <w:t xml:space="preserve">). </w:t>
      </w:r>
      <w:r>
        <w:rPr>
          <w:szCs w:val="24"/>
          <w:lang w:eastAsia="id-ID"/>
        </w:rPr>
        <w:t xml:space="preserve">Salah satu cara untuk menilai faal paru adalah menggunakan </w:t>
      </w:r>
      <w:r>
        <w:rPr>
          <w:i/>
          <w:szCs w:val="24"/>
          <w:lang w:eastAsia="id-ID"/>
        </w:rPr>
        <w:t>Peak Flow M</w:t>
      </w:r>
      <w:r w:rsidRPr="00C725D0">
        <w:rPr>
          <w:i/>
          <w:szCs w:val="24"/>
          <w:lang w:eastAsia="id-ID"/>
        </w:rPr>
        <w:t>eter</w:t>
      </w:r>
      <w:r w:rsidRPr="00C725D0">
        <w:rPr>
          <w:szCs w:val="24"/>
          <w:lang w:eastAsia="id-ID"/>
        </w:rPr>
        <w:t xml:space="preserve"> </w:t>
      </w:r>
      <w:r>
        <w:rPr>
          <w:szCs w:val="24"/>
          <w:lang w:eastAsia="id-ID"/>
        </w:rPr>
        <w:t>(PFM) yaitu untuk mengukur arus puncak ekspirasi (APE) yang dapat memberikan peringatan dini adanya penur</w:t>
      </w:r>
      <w:r w:rsidR="00011F0B">
        <w:rPr>
          <w:szCs w:val="24"/>
          <w:lang w:eastAsia="id-ID"/>
        </w:rPr>
        <w:t>unan fungsi paru</w:t>
      </w:r>
      <w:proofErr w:type="gramStart"/>
      <w:r>
        <w:rPr>
          <w:szCs w:val="24"/>
          <w:lang w:eastAsia="id-ID"/>
        </w:rPr>
        <w:t>.</w:t>
      </w:r>
      <w:r w:rsidR="00011F0B" w:rsidRPr="002B42FF">
        <w:rPr>
          <w:szCs w:val="24"/>
          <w:vertAlign w:val="superscript"/>
          <w:lang w:eastAsia="id-ID"/>
        </w:rPr>
        <w:t>[</w:t>
      </w:r>
      <w:proofErr w:type="gramEnd"/>
      <w:r w:rsidR="00011F0B" w:rsidRPr="002B42FF">
        <w:rPr>
          <w:szCs w:val="24"/>
          <w:vertAlign w:val="superscript"/>
          <w:lang w:eastAsia="id-ID"/>
        </w:rPr>
        <w:t>9]</w:t>
      </w:r>
    </w:p>
    <w:p w14:paraId="1A07D00E" w14:textId="77777777" w:rsidR="00B3268B" w:rsidRPr="00B3268B" w:rsidRDefault="00B3268B" w:rsidP="00011F0B">
      <w:pPr>
        <w:pStyle w:val="BodytextIndented"/>
        <w:rPr>
          <w:lang w:val="en-GB"/>
        </w:rPr>
      </w:pPr>
      <w:r>
        <w:rPr>
          <w:szCs w:val="24"/>
          <w:lang w:eastAsia="id-ID"/>
        </w:rPr>
        <w:t>Berdasarkan data yang telah disampaikan, peneliti merasa tertarik untuk melakukan penelitian yaitu Pengaruh Merokok terhadap Arus Puncak Ekspirasi pada Peran Satuan Pengamanan UPN Veteran Jakarta.</w:t>
      </w:r>
    </w:p>
    <w:p w14:paraId="38C5621B" w14:textId="77777777" w:rsidR="00B3268B" w:rsidRPr="00B3268B" w:rsidRDefault="00693046" w:rsidP="00B3268B">
      <w:pPr>
        <w:pStyle w:val="Section"/>
        <w:ind w:left="0"/>
        <w:rPr>
          <w:lang w:val="id-ID"/>
        </w:rPr>
      </w:pPr>
      <w:r>
        <w:rPr>
          <w:lang w:val="id-ID"/>
        </w:rPr>
        <w:t>Metode</w:t>
      </w:r>
    </w:p>
    <w:p w14:paraId="0751886B" w14:textId="77777777" w:rsidR="00B3268B" w:rsidRPr="00B3268B" w:rsidRDefault="00B3268B" w:rsidP="00B3268B">
      <w:pPr>
        <w:jc w:val="both"/>
        <w:rPr>
          <w:b/>
        </w:rPr>
      </w:pPr>
      <w:r w:rsidRPr="006E7F12">
        <w:rPr>
          <w:szCs w:val="24"/>
        </w:rPr>
        <w:t xml:space="preserve">Jenis penelitian yang digunakan adalah penelitian analitik observasional dengan pendekatan potong lintang atau </w:t>
      </w:r>
      <w:r w:rsidRPr="006E7F12">
        <w:rPr>
          <w:i/>
          <w:szCs w:val="24"/>
        </w:rPr>
        <w:t>cross sectional</w:t>
      </w:r>
      <w:r w:rsidRPr="006E7F12">
        <w:rPr>
          <w:szCs w:val="24"/>
        </w:rPr>
        <w:t>, yaitu peneliti mencari hubungan antara variabel independen dengan variabel dependen dengan melak</w:t>
      </w:r>
      <w:r>
        <w:rPr>
          <w:szCs w:val="24"/>
        </w:rPr>
        <w:t>ukan pengukuran sesaat</w:t>
      </w:r>
      <w:r w:rsidRPr="006E7F12">
        <w:rPr>
          <w:szCs w:val="24"/>
        </w:rPr>
        <w:t>.</w:t>
      </w:r>
    </w:p>
    <w:p w14:paraId="5DEB25D8" w14:textId="77777777" w:rsidR="00B3268B" w:rsidRPr="00B3268B" w:rsidRDefault="00693046" w:rsidP="00B3268B">
      <w:pPr>
        <w:pStyle w:val="Heading2"/>
        <w:rPr>
          <w:lang w:val="id-ID"/>
        </w:rPr>
      </w:pPr>
      <w:r>
        <w:rPr>
          <w:lang w:val="id-ID"/>
        </w:rPr>
        <w:t>Populasi dan sampel</w:t>
      </w:r>
    </w:p>
    <w:p w14:paraId="2117B96B" w14:textId="77777777" w:rsidR="00B3268B" w:rsidRPr="00B3268B" w:rsidRDefault="00B3268B" w:rsidP="00B3268B">
      <w:pPr>
        <w:jc w:val="both"/>
      </w:pPr>
      <w:r w:rsidRPr="006E7F12">
        <w:rPr>
          <w:szCs w:val="24"/>
        </w:rPr>
        <w:t>Populasi penelitian adalah keseluru</w:t>
      </w:r>
      <w:r w:rsidR="00011F0B">
        <w:rPr>
          <w:szCs w:val="24"/>
        </w:rPr>
        <w:t>an objek penelitian</w:t>
      </w:r>
      <w:proofErr w:type="gramStart"/>
      <w:r w:rsidRPr="006E7F12">
        <w:rPr>
          <w:szCs w:val="24"/>
        </w:rPr>
        <w:t>.</w:t>
      </w:r>
      <w:r w:rsidR="00011F0B" w:rsidRPr="002B42FF">
        <w:rPr>
          <w:szCs w:val="24"/>
          <w:vertAlign w:val="superscript"/>
        </w:rPr>
        <w:t>[</w:t>
      </w:r>
      <w:proofErr w:type="gramEnd"/>
      <w:r w:rsidR="00011F0B" w:rsidRPr="002B42FF">
        <w:rPr>
          <w:szCs w:val="24"/>
          <w:vertAlign w:val="superscript"/>
        </w:rPr>
        <w:t>10]</w:t>
      </w:r>
      <w:r w:rsidRPr="006E7F12">
        <w:rPr>
          <w:szCs w:val="24"/>
        </w:rPr>
        <w:t xml:space="preserve"> Populasi dalam penelitian ini adalah seluruh pekerja Satuan Pengamanan atau </w:t>
      </w:r>
      <w:r>
        <w:rPr>
          <w:szCs w:val="24"/>
        </w:rPr>
        <w:t>satpam</w:t>
      </w:r>
      <w:r w:rsidRPr="006E7F12">
        <w:rPr>
          <w:szCs w:val="24"/>
        </w:rPr>
        <w:t xml:space="preserve"> Universitas Pembangunan Nasional “Veteran” Jakarta.</w:t>
      </w:r>
      <w:r>
        <w:rPr>
          <w:szCs w:val="24"/>
        </w:rPr>
        <w:t xml:space="preserve"> </w:t>
      </w:r>
      <w:r w:rsidRPr="006E7F12">
        <w:rPr>
          <w:szCs w:val="24"/>
        </w:rPr>
        <w:t>Sampel yang digunakan pada penelitian ini adalah seluruh populasi yang memenuhi kriteria inklusi dan eksklusi</w:t>
      </w:r>
      <w:r>
        <w:rPr>
          <w:szCs w:val="24"/>
        </w:rPr>
        <w:t>.</w:t>
      </w:r>
    </w:p>
    <w:p w14:paraId="26311191" w14:textId="77777777" w:rsidR="00693046" w:rsidRPr="00733CB3" w:rsidRDefault="00693046" w:rsidP="00E636FE">
      <w:pPr>
        <w:pStyle w:val="Heading2"/>
      </w:pPr>
      <w:r>
        <w:rPr>
          <w:lang w:val="id-ID"/>
        </w:rPr>
        <w:t>Pengambilan sampel</w:t>
      </w:r>
    </w:p>
    <w:p w14:paraId="437BBD65" w14:textId="77777777" w:rsidR="00B3268B" w:rsidRPr="000B0449" w:rsidRDefault="00B3268B" w:rsidP="00B3268B">
      <w:pPr>
        <w:jc w:val="both"/>
        <w:rPr>
          <w:color w:val="000000" w:themeColor="text1"/>
          <w:lang w:val="en-US"/>
        </w:rPr>
      </w:pPr>
      <w:r w:rsidRPr="00FB4E4F">
        <w:t xml:space="preserve">Penelitian ini menggunakan metode pengambilan sampel dilakukan dengan metode </w:t>
      </w:r>
      <w:r w:rsidRPr="00FB4E4F">
        <w:rPr>
          <w:i/>
        </w:rPr>
        <w:t xml:space="preserve">nonprobability sampling </w:t>
      </w:r>
      <w:r w:rsidRPr="00FB4E4F">
        <w:t xml:space="preserve">dengan teknik </w:t>
      </w:r>
      <w:r w:rsidRPr="00FB4E4F">
        <w:rPr>
          <w:i/>
        </w:rPr>
        <w:t>consecutive sampling</w:t>
      </w:r>
      <w:r w:rsidRPr="00FB4E4F">
        <w:t>.</w:t>
      </w:r>
      <w:r>
        <w:rPr>
          <w:lang w:val="en-US"/>
        </w:rPr>
        <w:t xml:space="preserve"> </w:t>
      </w:r>
      <w:r w:rsidRPr="006E7F12">
        <w:rPr>
          <w:i/>
          <w:szCs w:val="24"/>
        </w:rPr>
        <w:t>Total sampling</w:t>
      </w:r>
      <w:r w:rsidRPr="006E7F12">
        <w:rPr>
          <w:szCs w:val="24"/>
        </w:rPr>
        <w:t xml:space="preserve"> adalah pengambilan sampel dengan menggunakan seluruh anggota populasi sebagai sampel p</w:t>
      </w:r>
      <w:r w:rsidR="00011F0B">
        <w:rPr>
          <w:szCs w:val="24"/>
        </w:rPr>
        <w:t>enelitian</w:t>
      </w:r>
      <w:proofErr w:type="gramStart"/>
      <w:r w:rsidRPr="006E7F12">
        <w:rPr>
          <w:szCs w:val="24"/>
        </w:rPr>
        <w:t>.</w:t>
      </w:r>
      <w:r w:rsidR="00011F0B" w:rsidRPr="002B42FF">
        <w:rPr>
          <w:szCs w:val="24"/>
          <w:vertAlign w:val="superscript"/>
        </w:rPr>
        <w:t>[</w:t>
      </w:r>
      <w:proofErr w:type="gramEnd"/>
      <w:r w:rsidR="00011F0B" w:rsidRPr="002B42FF">
        <w:rPr>
          <w:szCs w:val="24"/>
          <w:vertAlign w:val="superscript"/>
        </w:rPr>
        <w:t>11]</w:t>
      </w:r>
    </w:p>
    <w:p w14:paraId="7D1D9DBC" w14:textId="77777777" w:rsidR="00B3268B" w:rsidRPr="00B3268B" w:rsidRDefault="00B3268B" w:rsidP="00B3268B">
      <w:pPr>
        <w:pStyle w:val="BodytextIndented"/>
      </w:pPr>
    </w:p>
    <w:p w14:paraId="74393186" w14:textId="77777777" w:rsidR="00693046" w:rsidRDefault="00693046" w:rsidP="00E636FE">
      <w:pPr>
        <w:pStyle w:val="Heading2"/>
        <w:rPr>
          <w:lang w:val="id-ID"/>
        </w:rPr>
      </w:pPr>
      <w:r>
        <w:rPr>
          <w:lang w:val="id-ID"/>
        </w:rPr>
        <w:t>Pengumpulan data</w:t>
      </w:r>
    </w:p>
    <w:p w14:paraId="512DE82D" w14:textId="77777777" w:rsidR="001B6055" w:rsidRDefault="001B6055" w:rsidP="001B6055">
      <w:pPr>
        <w:jc w:val="both"/>
        <w:rPr>
          <w:szCs w:val="24"/>
        </w:rPr>
      </w:pPr>
      <w:r w:rsidRPr="006E7F12">
        <w:rPr>
          <w:szCs w:val="24"/>
        </w:rPr>
        <w:t xml:space="preserve">Jenis data yang yang dikumpulkan dalam penelitian ini adalah </w:t>
      </w:r>
      <w:r>
        <w:rPr>
          <w:szCs w:val="24"/>
        </w:rPr>
        <w:t xml:space="preserve">pendekatan melalui wawancara secara langsung kepada responden penelitian yaitu pekerja satpam UPNVJ mengenai kebiasaan merokok responden. </w:t>
      </w:r>
      <w:r w:rsidRPr="006E7F12">
        <w:rPr>
          <w:szCs w:val="24"/>
        </w:rPr>
        <w:t xml:space="preserve">Data yang dikumpulkan </w:t>
      </w:r>
      <w:proofErr w:type="gramStart"/>
      <w:r w:rsidRPr="006E7F12">
        <w:rPr>
          <w:szCs w:val="24"/>
        </w:rPr>
        <w:t>akan</w:t>
      </w:r>
      <w:proofErr w:type="gramEnd"/>
      <w:r w:rsidRPr="006E7F12">
        <w:rPr>
          <w:szCs w:val="24"/>
        </w:rPr>
        <w:t xml:space="preserve"> diverifikasi dan dimasukkan ke dalam basis data, yang selanjutnya dianalisis.</w:t>
      </w:r>
    </w:p>
    <w:p w14:paraId="6930E1FC" w14:textId="77777777" w:rsidR="00FA5C04" w:rsidRDefault="00FA5C04" w:rsidP="001B6055">
      <w:pPr>
        <w:jc w:val="both"/>
        <w:rPr>
          <w:szCs w:val="24"/>
        </w:rPr>
      </w:pPr>
    </w:p>
    <w:p w14:paraId="135A6002" w14:textId="77777777" w:rsidR="00FA5C04" w:rsidRPr="001B6055" w:rsidRDefault="00FA5C04" w:rsidP="001B6055">
      <w:pPr>
        <w:jc w:val="both"/>
        <w:rPr>
          <w:szCs w:val="24"/>
        </w:rPr>
      </w:pPr>
    </w:p>
    <w:p w14:paraId="0D21EFF1" w14:textId="77777777" w:rsidR="00467054" w:rsidRDefault="00EB549F" w:rsidP="00E636FE">
      <w:pPr>
        <w:pStyle w:val="Heading2"/>
        <w:rPr>
          <w:lang w:val="id-ID"/>
        </w:rPr>
      </w:pPr>
      <w:r>
        <w:rPr>
          <w:lang w:val="id-ID"/>
        </w:rPr>
        <w:lastRenderedPageBreak/>
        <w:t>Prosedur penelitian</w:t>
      </w:r>
    </w:p>
    <w:p w14:paraId="69FEA167" w14:textId="77777777" w:rsidR="001B6055" w:rsidRDefault="001B6055" w:rsidP="001B6055"/>
    <w:p w14:paraId="6882D6BD" w14:textId="77777777" w:rsidR="001B6055" w:rsidRDefault="001B6055" w:rsidP="001B6055">
      <w:pPr>
        <w:jc w:val="both"/>
      </w:pPr>
      <w:r>
        <w:t xml:space="preserve">Peneliti </w:t>
      </w:r>
      <w:r>
        <w:rPr>
          <w:lang w:val="en-US"/>
        </w:rPr>
        <w:t xml:space="preserve">melakukan </w:t>
      </w:r>
      <w:r>
        <w:rPr>
          <w:szCs w:val="24"/>
        </w:rPr>
        <w:t>pendekatan melalui wawancara secara langsung kepada responden penelitian yaitu pekerja satpam UPNVJ mengenai kebiasaan merokok responden.</w:t>
      </w:r>
      <w:r>
        <w:t xml:space="preserve"> Setelah itu, peneliti memilih kriteria yang sesuai dengan kriteria inklusi dan eksklusi kemudia</w:t>
      </w:r>
      <w:r>
        <w:rPr>
          <w:lang w:val="en-US"/>
        </w:rPr>
        <w:t>n</w:t>
      </w:r>
      <w:r>
        <w:t xml:space="preserve"> dilakukan pengolahan data menggunakan SPSS.</w:t>
      </w:r>
    </w:p>
    <w:p w14:paraId="7E750731" w14:textId="77777777" w:rsidR="001B6055" w:rsidRPr="001B6055" w:rsidRDefault="001B6055" w:rsidP="001B6055"/>
    <w:p w14:paraId="6AA1F0A3" w14:textId="77777777" w:rsidR="00C05288" w:rsidRDefault="00C05288" w:rsidP="007E5054">
      <w:pPr>
        <w:pStyle w:val="Section"/>
        <w:ind w:left="0"/>
      </w:pPr>
      <w:r>
        <w:rPr>
          <w:lang w:val="id-ID"/>
        </w:rPr>
        <w:t xml:space="preserve">Hasil </w:t>
      </w:r>
      <w:r w:rsidR="00423B95">
        <w:rPr>
          <w:lang w:val="id-ID"/>
        </w:rPr>
        <w:t>dan pembahasan</w:t>
      </w:r>
    </w:p>
    <w:p w14:paraId="61999792" w14:textId="77777777" w:rsidR="00C05288" w:rsidRDefault="00C05288" w:rsidP="00E636FE">
      <w:pPr>
        <w:pStyle w:val="Heading2"/>
        <w:rPr>
          <w:lang w:val="id-ID"/>
        </w:rPr>
      </w:pPr>
      <w:r>
        <w:rPr>
          <w:lang w:val="id-ID"/>
        </w:rPr>
        <w:t xml:space="preserve">Karakteristik </w:t>
      </w:r>
      <w:r w:rsidR="00423B95">
        <w:rPr>
          <w:lang w:val="id-ID"/>
        </w:rPr>
        <w:t>responden</w:t>
      </w:r>
    </w:p>
    <w:p w14:paraId="5C58ADA1" w14:textId="77777777" w:rsidR="001B6055" w:rsidRPr="00FA5C04" w:rsidRDefault="001B6055" w:rsidP="001B6055">
      <w:pPr>
        <w:jc w:val="both"/>
        <w:rPr>
          <w:rFonts w:eastAsia="MS Mincho"/>
          <w:szCs w:val="24"/>
        </w:rPr>
      </w:pPr>
      <w:r>
        <w:rPr>
          <w:szCs w:val="24"/>
        </w:rPr>
        <w:t xml:space="preserve">Karakteristik sampel penelitian meliputi </w:t>
      </w:r>
      <w:r>
        <w:rPr>
          <w:szCs w:val="24"/>
          <w:lang w:val="en-US"/>
        </w:rPr>
        <w:t xml:space="preserve">tempat berkerja, jenis kelamin, </w:t>
      </w:r>
      <w:proofErr w:type="gramStart"/>
      <w:r>
        <w:rPr>
          <w:szCs w:val="24"/>
          <w:lang w:val="en-US"/>
        </w:rPr>
        <w:t>usia</w:t>
      </w:r>
      <w:proofErr w:type="gramEnd"/>
      <w:r>
        <w:rPr>
          <w:szCs w:val="24"/>
          <w:lang w:val="en-US"/>
        </w:rPr>
        <w:t xml:space="preserve">, berat badan, tinggi badan, perokok, jenis rokok, riwayat penyakit paru. </w:t>
      </w:r>
      <w:r>
        <w:rPr>
          <w:szCs w:val="24"/>
        </w:rPr>
        <w:t xml:space="preserve"> </w:t>
      </w:r>
      <w:r w:rsidRPr="007A7645">
        <w:rPr>
          <w:rFonts w:eastAsia="MS Mincho"/>
          <w:szCs w:val="24"/>
        </w:rPr>
        <w:t>Derajat merokok berdasarkan perhitungan Indeks Brinkman pada pekerja satpam UPN “Veteran” Ja</w:t>
      </w:r>
      <w:r w:rsidR="00FA5C04">
        <w:rPr>
          <w:rFonts w:eastAsia="MS Mincho"/>
          <w:szCs w:val="24"/>
        </w:rPr>
        <w:t>karta</w:t>
      </w:r>
      <w:r w:rsidRPr="007A7645">
        <w:rPr>
          <w:rFonts w:eastAsia="MS Mincho"/>
          <w:szCs w:val="24"/>
        </w:rPr>
        <w:t>.</w:t>
      </w:r>
    </w:p>
    <w:p w14:paraId="5109E16A" w14:textId="77777777" w:rsidR="001B6055" w:rsidRPr="001B6055" w:rsidRDefault="00423B95" w:rsidP="001B6055">
      <w:pPr>
        <w:pStyle w:val="Heading2"/>
        <w:rPr>
          <w:lang w:val="id-ID"/>
        </w:rPr>
      </w:pPr>
      <w:r>
        <w:rPr>
          <w:lang w:val="id-ID"/>
        </w:rPr>
        <w:t>Hasil analisis univariat</w:t>
      </w:r>
    </w:p>
    <w:p w14:paraId="031976E1" w14:textId="77777777" w:rsidR="00FA5C04" w:rsidRPr="00FA5C04" w:rsidRDefault="00FA5C04" w:rsidP="00E636FE">
      <w:pPr>
        <w:pStyle w:val="Subsubsection"/>
        <w:spacing w:after="120"/>
        <w:ind w:left="28"/>
        <w:jc w:val="both"/>
        <w:rPr>
          <w:rFonts w:ascii="Times New Roman" w:hAnsi="Times New Roman"/>
          <w:i w:val="0"/>
          <w:lang w:val="id-ID"/>
        </w:rPr>
      </w:pPr>
      <w:r w:rsidRPr="00FA5C04">
        <w:rPr>
          <w:lang w:val="id-ID"/>
        </w:rPr>
        <w:t>Derajat Merokok pada Pekerja Satpam UPN “Veteran” Jakarta</w:t>
      </w:r>
      <w:r w:rsidR="00423B95">
        <w:t>.</w:t>
      </w:r>
      <w:r w:rsidR="00423B95" w:rsidRPr="00FA5C04">
        <w:t xml:space="preserve"> </w:t>
      </w:r>
      <w:r w:rsidR="001B6055" w:rsidRPr="00FA5C04">
        <w:rPr>
          <w:rFonts w:eastAsia="MS Mincho"/>
          <w:i w:val="0"/>
          <w:szCs w:val="24"/>
        </w:rPr>
        <w:t>Ber</w:t>
      </w:r>
      <w:r w:rsidRPr="00FA5C04">
        <w:rPr>
          <w:rFonts w:eastAsia="MS Mincho"/>
          <w:i w:val="0"/>
          <w:szCs w:val="24"/>
        </w:rPr>
        <w:t>dasarkan penjabaran pada tabel 1</w:t>
      </w:r>
      <w:r>
        <w:rPr>
          <w:rFonts w:eastAsia="MS Mincho"/>
          <w:i w:val="0"/>
          <w:szCs w:val="24"/>
        </w:rPr>
        <w:t xml:space="preserve"> menunjukkan bahwa, </w:t>
      </w:r>
      <w:r w:rsidRPr="00FA5C04">
        <w:rPr>
          <w:rFonts w:eastAsia="MS Mincho"/>
          <w:i w:val="0"/>
          <w:szCs w:val="24"/>
        </w:rPr>
        <w:t>pekerja satpam UPN “Veteran” Jakarta yang mempunyai derajat keparahan merokok ringan sebanyak 20 orang (42.6%) sebanding dengan pekerja satpam yang mempunyai derajat keparahan merokok sedang sebanyak 20 orang (42.6%), lebih banyak dibandingkan pekerja satpam yang mempunyai derajat keparahan merokok berat sebanyak 7 orang (14%).</w:t>
      </w:r>
    </w:p>
    <w:p w14:paraId="02F24147" w14:textId="77777777" w:rsidR="00C958D3" w:rsidRPr="002B42FF" w:rsidRDefault="00E636FE" w:rsidP="00FA5C04">
      <w:pPr>
        <w:pStyle w:val="Subsubsection"/>
        <w:numPr>
          <w:ilvl w:val="0"/>
          <w:numId w:val="0"/>
        </w:numPr>
        <w:spacing w:after="120"/>
        <w:ind w:left="28"/>
        <w:jc w:val="center"/>
        <w:rPr>
          <w:rFonts w:ascii="Times New Roman" w:hAnsi="Times New Roman"/>
          <w:i w:val="0"/>
          <w:lang w:val="id-ID"/>
        </w:rPr>
      </w:pPr>
      <w:r w:rsidRPr="00FA5C04">
        <w:rPr>
          <w:rFonts w:ascii="Times New Roman" w:hAnsi="Times New Roman"/>
          <w:b/>
          <w:i w:val="0"/>
        </w:rPr>
        <w:t xml:space="preserve">Tabel </w:t>
      </w:r>
      <w:r w:rsidR="00FA5C04">
        <w:rPr>
          <w:rFonts w:ascii="Times New Roman" w:hAnsi="Times New Roman"/>
          <w:b/>
          <w:i w:val="0"/>
          <w:lang w:val="id-ID"/>
        </w:rPr>
        <w:t>1</w:t>
      </w:r>
      <w:r w:rsidRPr="00FA5C04">
        <w:rPr>
          <w:rFonts w:ascii="Times New Roman" w:hAnsi="Times New Roman"/>
          <w:b/>
        </w:rPr>
        <w:t>.</w:t>
      </w:r>
      <w:r w:rsidRPr="00FA5C04">
        <w:rPr>
          <w:rFonts w:ascii="Times New Roman" w:hAnsi="Times New Roman"/>
        </w:rPr>
        <w:t xml:space="preserve"> </w:t>
      </w:r>
      <w:r w:rsidR="00FA5C04" w:rsidRPr="002B42FF">
        <w:rPr>
          <w:rFonts w:ascii="Times New Roman" w:hAnsi="Times New Roman"/>
          <w:i w:val="0"/>
          <w:lang w:val="id-ID"/>
        </w:rPr>
        <w:t>Derajat Merokok</w:t>
      </w:r>
      <w:r w:rsidR="000C0F3D" w:rsidRPr="002B42FF">
        <w:rPr>
          <w:rFonts w:ascii="Times New Roman" w:hAnsi="Times New Roman"/>
          <w:i w:val="0"/>
          <w:lang w:val="id-ID"/>
        </w:rPr>
        <w:t xml:space="preserve"> pada Pekerja Satpam UPN “Veteran” Jakarta</w:t>
      </w:r>
    </w:p>
    <w:tbl>
      <w:tblPr>
        <w:tblW w:w="5106" w:type="dxa"/>
        <w:jc w:val="center"/>
        <w:tblBorders>
          <w:top w:val="single" w:sz="4" w:space="0" w:color="auto"/>
          <w:bottom w:val="single" w:sz="4" w:space="0" w:color="auto"/>
        </w:tblBorders>
        <w:tblLook w:val="04A0" w:firstRow="1" w:lastRow="0" w:firstColumn="1" w:lastColumn="0" w:noHBand="0" w:noVBand="1"/>
      </w:tblPr>
      <w:tblGrid>
        <w:gridCol w:w="2093"/>
        <w:gridCol w:w="1292"/>
        <w:gridCol w:w="1429"/>
        <w:gridCol w:w="292"/>
      </w:tblGrid>
      <w:tr w:rsidR="00FA5C04" w14:paraId="3D1AA239" w14:textId="77777777" w:rsidTr="002B42FF">
        <w:trPr>
          <w:trHeight w:val="542"/>
          <w:jc w:val="center"/>
        </w:trPr>
        <w:tc>
          <w:tcPr>
            <w:tcW w:w="2093" w:type="dxa"/>
            <w:tcBorders>
              <w:top w:val="single" w:sz="4" w:space="0" w:color="auto"/>
              <w:left w:val="nil"/>
              <w:bottom w:val="single" w:sz="4" w:space="0" w:color="auto"/>
              <w:right w:val="nil"/>
            </w:tcBorders>
            <w:vAlign w:val="center"/>
            <w:hideMark/>
          </w:tcPr>
          <w:p w14:paraId="22BEE25E" w14:textId="77777777" w:rsidR="00FA5C04" w:rsidRPr="00F00DC5" w:rsidRDefault="00FA5C04" w:rsidP="00FA5C04">
            <w:pPr>
              <w:jc w:val="center"/>
              <w:rPr>
                <w:b/>
                <w:sz w:val="20"/>
                <w:lang w:val="en-US"/>
              </w:rPr>
            </w:pPr>
            <w:r>
              <w:rPr>
                <w:b/>
                <w:sz w:val="20"/>
                <w:lang w:val="en-US"/>
              </w:rPr>
              <w:t>Karakteristik Indeks Brinkman</w:t>
            </w:r>
          </w:p>
        </w:tc>
        <w:tc>
          <w:tcPr>
            <w:tcW w:w="1292" w:type="dxa"/>
            <w:tcBorders>
              <w:top w:val="single" w:sz="4" w:space="0" w:color="auto"/>
              <w:left w:val="nil"/>
              <w:bottom w:val="single" w:sz="4" w:space="0" w:color="auto"/>
              <w:right w:val="nil"/>
            </w:tcBorders>
            <w:vAlign w:val="center"/>
            <w:hideMark/>
          </w:tcPr>
          <w:p w14:paraId="0FFEE2A6" w14:textId="77777777" w:rsidR="00FA5C04" w:rsidRPr="00085854" w:rsidRDefault="00FA5C04" w:rsidP="00FA5C04">
            <w:pPr>
              <w:jc w:val="center"/>
              <w:rPr>
                <w:b/>
                <w:sz w:val="20"/>
              </w:rPr>
            </w:pPr>
            <w:r w:rsidRPr="00085854">
              <w:rPr>
                <w:b/>
                <w:sz w:val="20"/>
              </w:rPr>
              <w:t>N</w:t>
            </w:r>
          </w:p>
        </w:tc>
        <w:tc>
          <w:tcPr>
            <w:tcW w:w="1429" w:type="dxa"/>
            <w:tcBorders>
              <w:top w:val="single" w:sz="4" w:space="0" w:color="auto"/>
              <w:left w:val="nil"/>
              <w:bottom w:val="single" w:sz="4" w:space="0" w:color="auto"/>
              <w:right w:val="nil"/>
            </w:tcBorders>
            <w:vAlign w:val="center"/>
            <w:hideMark/>
          </w:tcPr>
          <w:p w14:paraId="4049B679" w14:textId="77777777" w:rsidR="00FA5C04" w:rsidRPr="00085854" w:rsidRDefault="00FA5C04" w:rsidP="00FA5C04">
            <w:pPr>
              <w:jc w:val="center"/>
              <w:rPr>
                <w:b/>
                <w:sz w:val="20"/>
              </w:rPr>
            </w:pPr>
            <w:r w:rsidRPr="00085854">
              <w:rPr>
                <w:b/>
                <w:sz w:val="20"/>
              </w:rPr>
              <w:t>%</w:t>
            </w:r>
          </w:p>
        </w:tc>
        <w:tc>
          <w:tcPr>
            <w:tcW w:w="292" w:type="dxa"/>
            <w:tcBorders>
              <w:top w:val="single" w:sz="4" w:space="0" w:color="auto"/>
              <w:left w:val="nil"/>
              <w:bottom w:val="single" w:sz="4" w:space="0" w:color="auto"/>
              <w:right w:val="nil"/>
            </w:tcBorders>
          </w:tcPr>
          <w:p w14:paraId="66EA1453" w14:textId="77777777" w:rsidR="00FA5C04" w:rsidRDefault="00FA5C04" w:rsidP="00FA5C04">
            <w:pPr>
              <w:jc w:val="both"/>
              <w:rPr>
                <w:b/>
                <w:szCs w:val="24"/>
              </w:rPr>
            </w:pPr>
          </w:p>
        </w:tc>
      </w:tr>
      <w:tr w:rsidR="00FA5C04" w14:paraId="4BB681E4" w14:textId="77777777" w:rsidTr="002B42FF">
        <w:trPr>
          <w:trHeight w:val="407"/>
          <w:jc w:val="center"/>
        </w:trPr>
        <w:tc>
          <w:tcPr>
            <w:tcW w:w="2093" w:type="dxa"/>
            <w:tcBorders>
              <w:top w:val="single" w:sz="4" w:space="0" w:color="auto"/>
              <w:left w:val="nil"/>
              <w:bottom w:val="nil"/>
              <w:right w:val="nil"/>
            </w:tcBorders>
            <w:hideMark/>
          </w:tcPr>
          <w:p w14:paraId="41CE3807" w14:textId="77777777" w:rsidR="00FA5C04" w:rsidRPr="00A6473B" w:rsidRDefault="00FA5C04" w:rsidP="00FA5C04">
            <w:pPr>
              <w:jc w:val="center"/>
              <w:rPr>
                <w:sz w:val="20"/>
                <w:lang w:val="en-US"/>
              </w:rPr>
            </w:pPr>
            <w:r>
              <w:rPr>
                <w:sz w:val="20"/>
                <w:lang w:val="en-US"/>
              </w:rPr>
              <w:t>Ringan (0-200)</w:t>
            </w:r>
          </w:p>
        </w:tc>
        <w:tc>
          <w:tcPr>
            <w:tcW w:w="1292" w:type="dxa"/>
            <w:tcBorders>
              <w:top w:val="single" w:sz="4" w:space="0" w:color="auto"/>
              <w:left w:val="nil"/>
              <w:bottom w:val="nil"/>
              <w:right w:val="nil"/>
            </w:tcBorders>
            <w:hideMark/>
          </w:tcPr>
          <w:p w14:paraId="1F483DC9" w14:textId="77777777" w:rsidR="00FA5C04" w:rsidRPr="00A6473B" w:rsidRDefault="00FA5C04" w:rsidP="00FA5C04">
            <w:pPr>
              <w:jc w:val="center"/>
              <w:rPr>
                <w:sz w:val="20"/>
                <w:lang w:val="en-US"/>
              </w:rPr>
            </w:pPr>
            <w:r>
              <w:rPr>
                <w:sz w:val="20"/>
                <w:lang w:val="en-US"/>
              </w:rPr>
              <w:t>20</w:t>
            </w:r>
          </w:p>
        </w:tc>
        <w:tc>
          <w:tcPr>
            <w:tcW w:w="1429" w:type="dxa"/>
            <w:tcBorders>
              <w:top w:val="single" w:sz="4" w:space="0" w:color="auto"/>
              <w:left w:val="nil"/>
              <w:bottom w:val="nil"/>
              <w:right w:val="nil"/>
            </w:tcBorders>
            <w:hideMark/>
          </w:tcPr>
          <w:p w14:paraId="3177084F" w14:textId="77777777" w:rsidR="00FA5C04" w:rsidRPr="00A6473B" w:rsidRDefault="00FA5C04" w:rsidP="00FA5C04">
            <w:pPr>
              <w:jc w:val="center"/>
              <w:rPr>
                <w:sz w:val="20"/>
                <w:lang w:val="en-US"/>
              </w:rPr>
            </w:pPr>
            <w:r w:rsidRPr="00085854">
              <w:rPr>
                <w:sz w:val="20"/>
              </w:rPr>
              <w:t>4</w:t>
            </w:r>
            <w:r>
              <w:rPr>
                <w:sz w:val="20"/>
              </w:rPr>
              <w:t>2.6</w:t>
            </w:r>
          </w:p>
        </w:tc>
        <w:tc>
          <w:tcPr>
            <w:tcW w:w="292" w:type="dxa"/>
            <w:tcBorders>
              <w:top w:val="single" w:sz="4" w:space="0" w:color="auto"/>
              <w:left w:val="nil"/>
              <w:bottom w:val="nil"/>
              <w:right w:val="nil"/>
            </w:tcBorders>
          </w:tcPr>
          <w:p w14:paraId="3E8692B2" w14:textId="77777777" w:rsidR="00FA5C04" w:rsidRDefault="00FA5C04" w:rsidP="00FA5C04">
            <w:pPr>
              <w:jc w:val="both"/>
              <w:rPr>
                <w:szCs w:val="24"/>
              </w:rPr>
            </w:pPr>
          </w:p>
        </w:tc>
      </w:tr>
      <w:tr w:rsidR="00FA5C04" w14:paraId="5A4781AC" w14:textId="77777777" w:rsidTr="002B42FF">
        <w:trPr>
          <w:trHeight w:val="407"/>
          <w:jc w:val="center"/>
        </w:trPr>
        <w:tc>
          <w:tcPr>
            <w:tcW w:w="2093" w:type="dxa"/>
            <w:tcBorders>
              <w:top w:val="nil"/>
              <w:left w:val="nil"/>
              <w:bottom w:val="nil"/>
              <w:right w:val="nil"/>
            </w:tcBorders>
            <w:hideMark/>
          </w:tcPr>
          <w:p w14:paraId="33A1EFC1" w14:textId="77777777" w:rsidR="00FA5C04" w:rsidRPr="00A6473B" w:rsidRDefault="00FA5C04" w:rsidP="00FA5C04">
            <w:pPr>
              <w:jc w:val="center"/>
              <w:rPr>
                <w:sz w:val="20"/>
                <w:lang w:val="en-US"/>
              </w:rPr>
            </w:pPr>
            <w:r>
              <w:rPr>
                <w:sz w:val="20"/>
                <w:lang w:val="en-US"/>
              </w:rPr>
              <w:t>Sedang (&gt;200-600)</w:t>
            </w:r>
          </w:p>
        </w:tc>
        <w:tc>
          <w:tcPr>
            <w:tcW w:w="1292" w:type="dxa"/>
            <w:tcBorders>
              <w:top w:val="nil"/>
              <w:left w:val="nil"/>
              <w:bottom w:val="nil"/>
              <w:right w:val="nil"/>
            </w:tcBorders>
            <w:hideMark/>
          </w:tcPr>
          <w:p w14:paraId="6677967A" w14:textId="77777777" w:rsidR="00FA5C04" w:rsidRPr="00A6473B" w:rsidRDefault="00FA5C04" w:rsidP="00FA5C04">
            <w:pPr>
              <w:jc w:val="center"/>
              <w:rPr>
                <w:sz w:val="20"/>
                <w:lang w:val="en-US"/>
              </w:rPr>
            </w:pPr>
            <w:r>
              <w:rPr>
                <w:sz w:val="20"/>
                <w:lang w:val="en-US"/>
              </w:rPr>
              <w:t>20</w:t>
            </w:r>
          </w:p>
        </w:tc>
        <w:tc>
          <w:tcPr>
            <w:tcW w:w="1429" w:type="dxa"/>
            <w:tcBorders>
              <w:top w:val="nil"/>
              <w:left w:val="nil"/>
              <w:bottom w:val="nil"/>
              <w:right w:val="nil"/>
            </w:tcBorders>
            <w:hideMark/>
          </w:tcPr>
          <w:p w14:paraId="14D4BE95" w14:textId="77777777" w:rsidR="00FA5C04" w:rsidRPr="00F00DC5" w:rsidRDefault="00FA5C04" w:rsidP="00FA5C04">
            <w:pPr>
              <w:jc w:val="center"/>
              <w:rPr>
                <w:sz w:val="20"/>
                <w:lang w:val="en-US"/>
              </w:rPr>
            </w:pPr>
            <w:r w:rsidRPr="00085854">
              <w:rPr>
                <w:sz w:val="20"/>
              </w:rPr>
              <w:t>4</w:t>
            </w:r>
            <w:r>
              <w:rPr>
                <w:sz w:val="20"/>
                <w:lang w:val="en-US"/>
              </w:rPr>
              <w:t>2.6</w:t>
            </w:r>
          </w:p>
        </w:tc>
        <w:tc>
          <w:tcPr>
            <w:tcW w:w="292" w:type="dxa"/>
            <w:tcBorders>
              <w:top w:val="nil"/>
              <w:left w:val="nil"/>
              <w:bottom w:val="nil"/>
              <w:right w:val="nil"/>
            </w:tcBorders>
          </w:tcPr>
          <w:p w14:paraId="40A0220F" w14:textId="77777777" w:rsidR="00FA5C04" w:rsidRDefault="00FA5C04" w:rsidP="00FA5C04">
            <w:pPr>
              <w:jc w:val="both"/>
              <w:rPr>
                <w:szCs w:val="24"/>
              </w:rPr>
            </w:pPr>
          </w:p>
        </w:tc>
      </w:tr>
      <w:tr w:rsidR="00FA5C04" w14:paraId="5D2A368C" w14:textId="77777777" w:rsidTr="002B42FF">
        <w:trPr>
          <w:trHeight w:val="396"/>
          <w:jc w:val="center"/>
        </w:trPr>
        <w:tc>
          <w:tcPr>
            <w:tcW w:w="2093" w:type="dxa"/>
            <w:tcBorders>
              <w:top w:val="nil"/>
              <w:left w:val="nil"/>
              <w:bottom w:val="nil"/>
              <w:right w:val="nil"/>
            </w:tcBorders>
            <w:hideMark/>
          </w:tcPr>
          <w:p w14:paraId="044696BA" w14:textId="77777777" w:rsidR="00FA5C04" w:rsidRPr="00A6473B" w:rsidRDefault="00FA5C04" w:rsidP="00FA5C04">
            <w:pPr>
              <w:jc w:val="center"/>
              <w:rPr>
                <w:sz w:val="20"/>
                <w:lang w:val="en-US"/>
              </w:rPr>
            </w:pPr>
            <w:r>
              <w:rPr>
                <w:sz w:val="20"/>
                <w:lang w:val="en-US"/>
              </w:rPr>
              <w:t>Berat (&gt;600)</w:t>
            </w:r>
          </w:p>
        </w:tc>
        <w:tc>
          <w:tcPr>
            <w:tcW w:w="1292" w:type="dxa"/>
            <w:tcBorders>
              <w:top w:val="nil"/>
              <w:left w:val="nil"/>
              <w:bottom w:val="nil"/>
              <w:right w:val="nil"/>
            </w:tcBorders>
            <w:hideMark/>
          </w:tcPr>
          <w:p w14:paraId="23111EFC" w14:textId="77777777" w:rsidR="00FA5C04" w:rsidRPr="00085854" w:rsidRDefault="00FA5C04" w:rsidP="00FA5C04">
            <w:pPr>
              <w:jc w:val="center"/>
              <w:rPr>
                <w:sz w:val="20"/>
                <w:lang w:val="en-US"/>
              </w:rPr>
            </w:pPr>
            <w:r>
              <w:rPr>
                <w:sz w:val="20"/>
                <w:lang w:val="en-US"/>
              </w:rPr>
              <w:t>7</w:t>
            </w:r>
          </w:p>
        </w:tc>
        <w:tc>
          <w:tcPr>
            <w:tcW w:w="1429" w:type="dxa"/>
            <w:tcBorders>
              <w:top w:val="nil"/>
              <w:left w:val="nil"/>
              <w:bottom w:val="nil"/>
              <w:right w:val="nil"/>
            </w:tcBorders>
            <w:hideMark/>
          </w:tcPr>
          <w:p w14:paraId="62DE72FA" w14:textId="77777777" w:rsidR="00FA5C04" w:rsidRPr="00A6473B" w:rsidRDefault="00FA5C04" w:rsidP="00FA5C04">
            <w:pPr>
              <w:jc w:val="center"/>
              <w:rPr>
                <w:sz w:val="20"/>
                <w:lang w:val="en-US"/>
              </w:rPr>
            </w:pPr>
            <w:r>
              <w:rPr>
                <w:sz w:val="20"/>
                <w:lang w:val="en-US"/>
              </w:rPr>
              <w:t>14.9</w:t>
            </w:r>
          </w:p>
        </w:tc>
        <w:tc>
          <w:tcPr>
            <w:tcW w:w="292" w:type="dxa"/>
            <w:tcBorders>
              <w:top w:val="nil"/>
              <w:left w:val="nil"/>
              <w:bottom w:val="nil"/>
              <w:right w:val="nil"/>
            </w:tcBorders>
          </w:tcPr>
          <w:p w14:paraId="0AEDBAF6" w14:textId="77777777" w:rsidR="00FA5C04" w:rsidRDefault="00FA5C04" w:rsidP="00FA5C04">
            <w:pPr>
              <w:jc w:val="both"/>
              <w:rPr>
                <w:szCs w:val="24"/>
              </w:rPr>
            </w:pPr>
          </w:p>
        </w:tc>
      </w:tr>
      <w:tr w:rsidR="00FA5C04" w14:paraId="76D3935D" w14:textId="77777777" w:rsidTr="002B42FF">
        <w:trPr>
          <w:trHeight w:val="68"/>
          <w:jc w:val="center"/>
        </w:trPr>
        <w:tc>
          <w:tcPr>
            <w:tcW w:w="2093" w:type="dxa"/>
            <w:tcBorders>
              <w:top w:val="nil"/>
              <w:left w:val="nil"/>
              <w:bottom w:val="single" w:sz="4" w:space="0" w:color="auto"/>
              <w:right w:val="nil"/>
            </w:tcBorders>
            <w:hideMark/>
          </w:tcPr>
          <w:p w14:paraId="377B8821" w14:textId="77777777" w:rsidR="00FA5C04" w:rsidRPr="00085854" w:rsidRDefault="00FA5C04" w:rsidP="00FA5C04">
            <w:pPr>
              <w:jc w:val="center"/>
              <w:rPr>
                <w:sz w:val="20"/>
              </w:rPr>
            </w:pPr>
            <w:r w:rsidRPr="00085854">
              <w:rPr>
                <w:sz w:val="20"/>
              </w:rPr>
              <w:t>Total</w:t>
            </w:r>
          </w:p>
        </w:tc>
        <w:tc>
          <w:tcPr>
            <w:tcW w:w="1292" w:type="dxa"/>
            <w:tcBorders>
              <w:top w:val="nil"/>
              <w:left w:val="nil"/>
              <w:bottom w:val="single" w:sz="4" w:space="0" w:color="auto"/>
              <w:right w:val="nil"/>
            </w:tcBorders>
            <w:hideMark/>
          </w:tcPr>
          <w:p w14:paraId="192229B7" w14:textId="77777777" w:rsidR="00FA5C04" w:rsidRPr="00085854" w:rsidRDefault="00FA5C04" w:rsidP="00FA5C04">
            <w:pPr>
              <w:jc w:val="center"/>
              <w:rPr>
                <w:sz w:val="20"/>
                <w:lang w:val="en-US"/>
              </w:rPr>
            </w:pPr>
            <w:r>
              <w:rPr>
                <w:sz w:val="20"/>
                <w:lang w:val="en-US"/>
              </w:rPr>
              <w:t>47</w:t>
            </w:r>
          </w:p>
        </w:tc>
        <w:tc>
          <w:tcPr>
            <w:tcW w:w="1429" w:type="dxa"/>
            <w:tcBorders>
              <w:top w:val="nil"/>
              <w:left w:val="nil"/>
              <w:bottom w:val="single" w:sz="4" w:space="0" w:color="auto"/>
              <w:right w:val="nil"/>
            </w:tcBorders>
            <w:hideMark/>
          </w:tcPr>
          <w:p w14:paraId="4EA70F25" w14:textId="77777777" w:rsidR="00FA5C04" w:rsidRPr="00085854" w:rsidRDefault="00FA5C04" w:rsidP="00FA5C04">
            <w:pPr>
              <w:jc w:val="center"/>
              <w:rPr>
                <w:sz w:val="20"/>
              </w:rPr>
            </w:pPr>
            <w:r>
              <w:rPr>
                <w:sz w:val="20"/>
              </w:rPr>
              <w:t>100</w:t>
            </w:r>
          </w:p>
        </w:tc>
        <w:tc>
          <w:tcPr>
            <w:tcW w:w="292" w:type="dxa"/>
            <w:tcBorders>
              <w:top w:val="nil"/>
              <w:left w:val="nil"/>
              <w:bottom w:val="single" w:sz="4" w:space="0" w:color="auto"/>
              <w:right w:val="nil"/>
            </w:tcBorders>
          </w:tcPr>
          <w:p w14:paraId="79FCEB16" w14:textId="77777777" w:rsidR="00FA5C04" w:rsidRDefault="00FA5C04" w:rsidP="00FA5C04">
            <w:pPr>
              <w:jc w:val="both"/>
              <w:rPr>
                <w:szCs w:val="24"/>
              </w:rPr>
            </w:pPr>
          </w:p>
        </w:tc>
      </w:tr>
    </w:tbl>
    <w:p w14:paraId="2DC9580A" w14:textId="77777777" w:rsidR="00C958D3" w:rsidRDefault="00C958D3" w:rsidP="00FA5C04">
      <w:pPr>
        <w:pStyle w:val="Bodytext"/>
        <w:rPr>
          <w:lang w:val="id-ID"/>
        </w:rPr>
      </w:pPr>
    </w:p>
    <w:p w14:paraId="204337D9" w14:textId="77777777" w:rsidR="000C0F3D" w:rsidRPr="00240031" w:rsidRDefault="00240031" w:rsidP="000C0F3D">
      <w:pPr>
        <w:pStyle w:val="Subsubsection"/>
        <w:spacing w:after="120"/>
        <w:ind w:left="0"/>
        <w:jc w:val="both"/>
        <w:rPr>
          <w:rFonts w:ascii="Times New Roman" w:hAnsi="Times New Roman"/>
          <w:i w:val="0"/>
          <w:lang w:val="id-ID"/>
        </w:rPr>
      </w:pPr>
      <w:r>
        <w:rPr>
          <w:lang w:val="id-ID"/>
        </w:rPr>
        <w:t>Distribusi Frekuensi IMT</w:t>
      </w:r>
      <w:r w:rsidR="000C0F3D">
        <w:rPr>
          <w:lang w:val="id-ID"/>
        </w:rPr>
        <w:t xml:space="preserve"> pada Pekerja Satpam UPN “Veteran” Jakarta</w:t>
      </w:r>
      <w:r w:rsidR="00A25D13">
        <w:t xml:space="preserve">. </w:t>
      </w:r>
      <w:r>
        <w:rPr>
          <w:i w:val="0"/>
          <w:lang w:val="id-ID"/>
        </w:rPr>
        <w:t>Berdasarkan Tabel 2 menunjukkan bahwa</w:t>
      </w:r>
      <w:r w:rsidR="0039469F" w:rsidRPr="0039469F">
        <w:rPr>
          <w:i w:val="0"/>
          <w:lang w:val="id-ID"/>
        </w:rPr>
        <w:t>,</w:t>
      </w:r>
      <w:r>
        <w:rPr>
          <w:i w:val="0"/>
          <w:lang w:val="id-ID"/>
        </w:rPr>
        <w:t xml:space="preserve"> </w:t>
      </w:r>
      <w:r w:rsidRPr="00240031">
        <w:rPr>
          <w:rFonts w:eastAsia="MS Mincho"/>
          <w:i w:val="0"/>
          <w:szCs w:val="24"/>
        </w:rPr>
        <w:t>pekerja satpam UPN “Veteran” Jakarta yang mempunyai kategori IMT normoweight sebanyak 35 orang (70%) lebih banyak dibandingkan dengan pekerja satpam yang mempunyai kategori IMT overweight sebanyak 9 orang (18%), dan kategori IMT underweight sebanyak 3 orang (6%).</w:t>
      </w:r>
    </w:p>
    <w:p w14:paraId="4DC24CDC" w14:textId="77777777" w:rsidR="00A25D13" w:rsidRDefault="00A25D13" w:rsidP="000C0F3D">
      <w:pPr>
        <w:pStyle w:val="Subsubsection"/>
        <w:numPr>
          <w:ilvl w:val="0"/>
          <w:numId w:val="0"/>
        </w:numPr>
        <w:spacing w:after="120"/>
        <w:jc w:val="center"/>
        <w:rPr>
          <w:rFonts w:ascii="Times New Roman" w:hAnsi="Times New Roman"/>
          <w:i w:val="0"/>
          <w:lang w:val="id-ID"/>
        </w:rPr>
      </w:pPr>
      <w:r w:rsidRPr="00240031">
        <w:rPr>
          <w:rFonts w:ascii="Times New Roman" w:hAnsi="Times New Roman"/>
          <w:b/>
          <w:i w:val="0"/>
        </w:rPr>
        <w:t xml:space="preserve">Tabel </w:t>
      </w:r>
      <w:r w:rsidR="00240031" w:rsidRPr="00240031">
        <w:rPr>
          <w:rFonts w:ascii="Times New Roman" w:hAnsi="Times New Roman"/>
          <w:b/>
          <w:i w:val="0"/>
          <w:lang w:val="id-ID"/>
        </w:rPr>
        <w:t>2</w:t>
      </w:r>
      <w:r w:rsidRPr="00CE57CF">
        <w:rPr>
          <w:rFonts w:ascii="Times New Roman" w:hAnsi="Times New Roman"/>
          <w:b/>
        </w:rPr>
        <w:t>.</w:t>
      </w:r>
      <w:r w:rsidRPr="00CE57CF">
        <w:rPr>
          <w:rFonts w:ascii="Times New Roman" w:hAnsi="Times New Roman"/>
        </w:rPr>
        <w:t xml:space="preserve"> </w:t>
      </w:r>
      <w:r w:rsidR="000C0F3D" w:rsidRPr="002B42FF">
        <w:rPr>
          <w:rFonts w:ascii="Times New Roman" w:hAnsi="Times New Roman"/>
          <w:i w:val="0"/>
          <w:lang w:val="id-ID"/>
        </w:rPr>
        <w:t>Distribusi Frekuensi APE Perokok pada Pekerja Satpam UPN “Veteran” Jakarta</w:t>
      </w:r>
    </w:p>
    <w:tbl>
      <w:tblPr>
        <w:tblW w:w="0" w:type="auto"/>
        <w:jc w:val="center"/>
        <w:tblBorders>
          <w:top w:val="single" w:sz="4" w:space="0" w:color="auto"/>
          <w:bottom w:val="single" w:sz="4" w:space="0" w:color="auto"/>
        </w:tblBorders>
        <w:tblLook w:val="04A0" w:firstRow="1" w:lastRow="0" w:firstColumn="1" w:lastColumn="0" w:noHBand="0" w:noVBand="1"/>
      </w:tblPr>
      <w:tblGrid>
        <w:gridCol w:w="2376"/>
        <w:gridCol w:w="1561"/>
        <w:gridCol w:w="1415"/>
        <w:gridCol w:w="290"/>
      </w:tblGrid>
      <w:tr w:rsidR="00240031" w:rsidRPr="00085854" w14:paraId="56BF782F" w14:textId="77777777" w:rsidTr="002B42FF">
        <w:trPr>
          <w:trHeight w:val="442"/>
          <w:jc w:val="center"/>
        </w:trPr>
        <w:tc>
          <w:tcPr>
            <w:tcW w:w="2376" w:type="dxa"/>
            <w:tcBorders>
              <w:top w:val="single" w:sz="4" w:space="0" w:color="auto"/>
              <w:left w:val="nil"/>
              <w:bottom w:val="single" w:sz="4" w:space="0" w:color="auto"/>
              <w:right w:val="nil"/>
            </w:tcBorders>
            <w:vAlign w:val="center"/>
            <w:hideMark/>
          </w:tcPr>
          <w:p w14:paraId="320B6346" w14:textId="77777777" w:rsidR="00240031" w:rsidRPr="00085854" w:rsidRDefault="00240031" w:rsidP="00240031">
            <w:pPr>
              <w:jc w:val="center"/>
              <w:rPr>
                <w:b/>
                <w:sz w:val="20"/>
                <w:lang w:val="en-US"/>
              </w:rPr>
            </w:pPr>
            <w:r>
              <w:rPr>
                <w:b/>
                <w:sz w:val="20"/>
                <w:lang w:val="en-US"/>
              </w:rPr>
              <w:t>IMT</w:t>
            </w:r>
            <w:r w:rsidRPr="00085854">
              <w:rPr>
                <w:b/>
                <w:sz w:val="20"/>
                <w:lang w:val="en-US"/>
              </w:rPr>
              <w:t xml:space="preserve"> </w:t>
            </w:r>
          </w:p>
        </w:tc>
        <w:tc>
          <w:tcPr>
            <w:tcW w:w="1561" w:type="dxa"/>
            <w:tcBorders>
              <w:top w:val="single" w:sz="4" w:space="0" w:color="auto"/>
              <w:left w:val="nil"/>
              <w:bottom w:val="single" w:sz="4" w:space="0" w:color="auto"/>
              <w:right w:val="nil"/>
            </w:tcBorders>
            <w:vAlign w:val="center"/>
            <w:hideMark/>
          </w:tcPr>
          <w:p w14:paraId="79EC359D" w14:textId="77777777" w:rsidR="00240031" w:rsidRPr="00085854" w:rsidRDefault="00240031" w:rsidP="00240031">
            <w:pPr>
              <w:jc w:val="center"/>
              <w:rPr>
                <w:b/>
                <w:sz w:val="20"/>
              </w:rPr>
            </w:pPr>
            <w:r w:rsidRPr="00085854">
              <w:rPr>
                <w:b/>
                <w:sz w:val="20"/>
              </w:rPr>
              <w:t>N</w:t>
            </w:r>
          </w:p>
        </w:tc>
        <w:tc>
          <w:tcPr>
            <w:tcW w:w="1415" w:type="dxa"/>
            <w:tcBorders>
              <w:top w:val="single" w:sz="4" w:space="0" w:color="auto"/>
              <w:left w:val="nil"/>
              <w:bottom w:val="single" w:sz="4" w:space="0" w:color="auto"/>
              <w:right w:val="nil"/>
            </w:tcBorders>
            <w:vAlign w:val="center"/>
            <w:hideMark/>
          </w:tcPr>
          <w:p w14:paraId="75D1C949" w14:textId="77777777" w:rsidR="00240031" w:rsidRPr="00085854" w:rsidRDefault="00240031" w:rsidP="00240031">
            <w:pPr>
              <w:jc w:val="center"/>
              <w:rPr>
                <w:b/>
                <w:sz w:val="20"/>
              </w:rPr>
            </w:pPr>
            <w:r w:rsidRPr="00085854">
              <w:rPr>
                <w:b/>
                <w:sz w:val="20"/>
              </w:rPr>
              <w:t>%</w:t>
            </w:r>
          </w:p>
        </w:tc>
        <w:tc>
          <w:tcPr>
            <w:tcW w:w="290" w:type="dxa"/>
            <w:tcBorders>
              <w:top w:val="single" w:sz="4" w:space="0" w:color="auto"/>
              <w:left w:val="nil"/>
              <w:bottom w:val="single" w:sz="4" w:space="0" w:color="auto"/>
              <w:right w:val="nil"/>
            </w:tcBorders>
          </w:tcPr>
          <w:p w14:paraId="0C23DC1A" w14:textId="77777777" w:rsidR="00240031" w:rsidRPr="00085854" w:rsidRDefault="00240031" w:rsidP="00240031">
            <w:pPr>
              <w:jc w:val="both"/>
              <w:rPr>
                <w:b/>
                <w:sz w:val="20"/>
              </w:rPr>
            </w:pPr>
          </w:p>
        </w:tc>
      </w:tr>
      <w:tr w:rsidR="00240031" w:rsidRPr="00085854" w14:paraId="02C6E566" w14:textId="77777777" w:rsidTr="002B42FF">
        <w:trPr>
          <w:trHeight w:val="454"/>
          <w:jc w:val="center"/>
        </w:trPr>
        <w:tc>
          <w:tcPr>
            <w:tcW w:w="2376" w:type="dxa"/>
            <w:tcBorders>
              <w:top w:val="single" w:sz="4" w:space="0" w:color="auto"/>
              <w:left w:val="nil"/>
              <w:bottom w:val="nil"/>
              <w:right w:val="nil"/>
            </w:tcBorders>
            <w:hideMark/>
          </w:tcPr>
          <w:p w14:paraId="0A727965" w14:textId="77777777" w:rsidR="00240031" w:rsidRPr="00F00DC5" w:rsidRDefault="00240031" w:rsidP="00240031">
            <w:pPr>
              <w:jc w:val="center"/>
              <w:rPr>
                <w:sz w:val="20"/>
                <w:lang w:val="en-US"/>
              </w:rPr>
            </w:pPr>
            <w:r w:rsidRPr="00F00DC5">
              <w:rPr>
                <w:i/>
                <w:sz w:val="20"/>
                <w:lang w:val="en-US"/>
              </w:rPr>
              <w:t>Underweight</w:t>
            </w:r>
            <w:r>
              <w:rPr>
                <w:i/>
                <w:sz w:val="20"/>
                <w:lang w:val="en-US"/>
              </w:rPr>
              <w:t xml:space="preserve"> </w:t>
            </w:r>
            <w:r>
              <w:rPr>
                <w:sz w:val="20"/>
                <w:lang w:val="en-US"/>
              </w:rPr>
              <w:t>(&lt;18,5)</w:t>
            </w:r>
          </w:p>
        </w:tc>
        <w:tc>
          <w:tcPr>
            <w:tcW w:w="1561" w:type="dxa"/>
            <w:tcBorders>
              <w:top w:val="single" w:sz="4" w:space="0" w:color="auto"/>
              <w:left w:val="nil"/>
              <w:bottom w:val="nil"/>
              <w:right w:val="nil"/>
            </w:tcBorders>
            <w:hideMark/>
          </w:tcPr>
          <w:p w14:paraId="64A7D4C2" w14:textId="77777777" w:rsidR="00240031" w:rsidRPr="00A6473B" w:rsidRDefault="00240031" w:rsidP="00240031">
            <w:pPr>
              <w:jc w:val="center"/>
              <w:rPr>
                <w:sz w:val="20"/>
                <w:lang w:val="en-US"/>
              </w:rPr>
            </w:pPr>
            <w:r>
              <w:rPr>
                <w:sz w:val="20"/>
                <w:lang w:val="en-US"/>
              </w:rPr>
              <w:t>3</w:t>
            </w:r>
          </w:p>
        </w:tc>
        <w:tc>
          <w:tcPr>
            <w:tcW w:w="1415" w:type="dxa"/>
            <w:tcBorders>
              <w:top w:val="single" w:sz="4" w:space="0" w:color="auto"/>
              <w:left w:val="nil"/>
              <w:bottom w:val="nil"/>
              <w:right w:val="nil"/>
            </w:tcBorders>
            <w:hideMark/>
          </w:tcPr>
          <w:p w14:paraId="1599F1BE" w14:textId="77777777" w:rsidR="00240031" w:rsidRPr="00F00DC5" w:rsidRDefault="00240031" w:rsidP="00240031">
            <w:pPr>
              <w:jc w:val="center"/>
              <w:rPr>
                <w:sz w:val="20"/>
                <w:lang w:val="en-US"/>
              </w:rPr>
            </w:pPr>
            <w:r>
              <w:rPr>
                <w:sz w:val="20"/>
                <w:lang w:val="en-US"/>
              </w:rPr>
              <w:t>6</w:t>
            </w:r>
          </w:p>
        </w:tc>
        <w:tc>
          <w:tcPr>
            <w:tcW w:w="290" w:type="dxa"/>
            <w:tcBorders>
              <w:top w:val="single" w:sz="4" w:space="0" w:color="auto"/>
              <w:left w:val="nil"/>
              <w:bottom w:val="nil"/>
              <w:right w:val="nil"/>
            </w:tcBorders>
          </w:tcPr>
          <w:p w14:paraId="4DDBC2A4" w14:textId="77777777" w:rsidR="00240031" w:rsidRPr="00085854" w:rsidRDefault="00240031" w:rsidP="00240031">
            <w:pPr>
              <w:jc w:val="both"/>
              <w:rPr>
                <w:sz w:val="20"/>
              </w:rPr>
            </w:pPr>
          </w:p>
        </w:tc>
      </w:tr>
      <w:tr w:rsidR="00240031" w:rsidRPr="00085854" w14:paraId="12D4B507" w14:textId="77777777" w:rsidTr="002B42FF">
        <w:trPr>
          <w:trHeight w:val="454"/>
          <w:jc w:val="center"/>
        </w:trPr>
        <w:tc>
          <w:tcPr>
            <w:tcW w:w="2376" w:type="dxa"/>
            <w:tcBorders>
              <w:top w:val="nil"/>
              <w:left w:val="nil"/>
              <w:bottom w:val="nil"/>
              <w:right w:val="nil"/>
            </w:tcBorders>
            <w:hideMark/>
          </w:tcPr>
          <w:p w14:paraId="235B2909" w14:textId="77777777" w:rsidR="00240031" w:rsidRPr="00F00DC5" w:rsidRDefault="00240031" w:rsidP="00240031">
            <w:pPr>
              <w:jc w:val="center"/>
              <w:rPr>
                <w:sz w:val="20"/>
                <w:lang w:val="en-US"/>
              </w:rPr>
            </w:pPr>
            <w:r w:rsidRPr="00F00DC5">
              <w:rPr>
                <w:i/>
                <w:sz w:val="20"/>
                <w:lang w:val="en-US"/>
              </w:rPr>
              <w:t>Normoweight</w:t>
            </w:r>
            <w:r>
              <w:rPr>
                <w:i/>
                <w:sz w:val="20"/>
                <w:lang w:val="en-US"/>
              </w:rPr>
              <w:t xml:space="preserve"> </w:t>
            </w:r>
            <w:r>
              <w:rPr>
                <w:sz w:val="20"/>
                <w:lang w:val="en-US"/>
              </w:rPr>
              <w:t>(18,5-22,9)</w:t>
            </w:r>
          </w:p>
        </w:tc>
        <w:tc>
          <w:tcPr>
            <w:tcW w:w="1561" w:type="dxa"/>
            <w:tcBorders>
              <w:top w:val="nil"/>
              <w:left w:val="nil"/>
              <w:bottom w:val="nil"/>
              <w:right w:val="nil"/>
            </w:tcBorders>
            <w:hideMark/>
          </w:tcPr>
          <w:p w14:paraId="7B4213D6" w14:textId="77777777" w:rsidR="00240031" w:rsidRPr="00F00DC5" w:rsidRDefault="00240031" w:rsidP="00240031">
            <w:pPr>
              <w:jc w:val="center"/>
              <w:rPr>
                <w:sz w:val="20"/>
                <w:lang w:val="en-US"/>
              </w:rPr>
            </w:pPr>
            <w:r>
              <w:rPr>
                <w:sz w:val="20"/>
                <w:lang w:val="en-US"/>
              </w:rPr>
              <w:t>35</w:t>
            </w:r>
          </w:p>
        </w:tc>
        <w:tc>
          <w:tcPr>
            <w:tcW w:w="1415" w:type="dxa"/>
            <w:tcBorders>
              <w:top w:val="nil"/>
              <w:left w:val="nil"/>
              <w:bottom w:val="nil"/>
              <w:right w:val="nil"/>
            </w:tcBorders>
            <w:hideMark/>
          </w:tcPr>
          <w:p w14:paraId="30FFFA38" w14:textId="77777777" w:rsidR="00240031" w:rsidRPr="00A6473B" w:rsidRDefault="00240031" w:rsidP="00240031">
            <w:pPr>
              <w:jc w:val="center"/>
              <w:rPr>
                <w:sz w:val="20"/>
                <w:lang w:val="en-US"/>
              </w:rPr>
            </w:pPr>
            <w:r>
              <w:rPr>
                <w:sz w:val="20"/>
                <w:lang w:val="en-US"/>
              </w:rPr>
              <w:t>70</w:t>
            </w:r>
          </w:p>
        </w:tc>
        <w:tc>
          <w:tcPr>
            <w:tcW w:w="290" w:type="dxa"/>
            <w:tcBorders>
              <w:top w:val="nil"/>
              <w:left w:val="nil"/>
              <w:bottom w:val="nil"/>
              <w:right w:val="nil"/>
            </w:tcBorders>
          </w:tcPr>
          <w:p w14:paraId="672F0B63" w14:textId="77777777" w:rsidR="00240031" w:rsidRPr="00085854" w:rsidRDefault="00240031" w:rsidP="00240031">
            <w:pPr>
              <w:jc w:val="both"/>
              <w:rPr>
                <w:sz w:val="20"/>
              </w:rPr>
            </w:pPr>
          </w:p>
        </w:tc>
      </w:tr>
      <w:tr w:rsidR="00240031" w:rsidRPr="00085854" w14:paraId="315FC72F" w14:textId="77777777" w:rsidTr="002B42FF">
        <w:trPr>
          <w:trHeight w:val="442"/>
          <w:jc w:val="center"/>
        </w:trPr>
        <w:tc>
          <w:tcPr>
            <w:tcW w:w="2376" w:type="dxa"/>
            <w:tcBorders>
              <w:top w:val="nil"/>
              <w:left w:val="nil"/>
              <w:bottom w:val="nil"/>
              <w:right w:val="nil"/>
            </w:tcBorders>
            <w:hideMark/>
          </w:tcPr>
          <w:p w14:paraId="05317BC7" w14:textId="77777777" w:rsidR="00240031" w:rsidRPr="00F00DC5" w:rsidRDefault="00240031" w:rsidP="00240031">
            <w:pPr>
              <w:jc w:val="center"/>
              <w:rPr>
                <w:i/>
                <w:sz w:val="20"/>
                <w:lang w:val="en-US"/>
              </w:rPr>
            </w:pPr>
            <w:r w:rsidRPr="00F00DC5">
              <w:rPr>
                <w:i/>
                <w:sz w:val="20"/>
                <w:lang w:val="en-US"/>
              </w:rPr>
              <w:t>Overweight</w:t>
            </w:r>
            <w:r>
              <w:rPr>
                <w:i/>
                <w:sz w:val="20"/>
                <w:lang w:val="en-US"/>
              </w:rPr>
              <w:t xml:space="preserve"> </w:t>
            </w:r>
            <w:r>
              <w:rPr>
                <w:sz w:val="20"/>
                <w:lang w:val="en-US"/>
              </w:rPr>
              <w:t>(23-24,9)</w:t>
            </w:r>
            <w:r w:rsidRPr="00F00DC5">
              <w:rPr>
                <w:i/>
                <w:sz w:val="20"/>
                <w:lang w:val="en-US"/>
              </w:rPr>
              <w:t xml:space="preserve"> </w:t>
            </w:r>
            <w:r>
              <w:rPr>
                <w:sz w:val="20"/>
                <w:lang w:val="en-US"/>
              </w:rPr>
              <w:t xml:space="preserve">           </w:t>
            </w:r>
          </w:p>
        </w:tc>
        <w:tc>
          <w:tcPr>
            <w:tcW w:w="1561" w:type="dxa"/>
            <w:tcBorders>
              <w:top w:val="nil"/>
              <w:left w:val="nil"/>
              <w:bottom w:val="nil"/>
              <w:right w:val="nil"/>
            </w:tcBorders>
            <w:hideMark/>
          </w:tcPr>
          <w:p w14:paraId="5666378A" w14:textId="77777777" w:rsidR="00240031" w:rsidRDefault="00240031" w:rsidP="00240031">
            <w:pPr>
              <w:jc w:val="center"/>
              <w:rPr>
                <w:sz w:val="20"/>
                <w:lang w:val="en-US"/>
              </w:rPr>
            </w:pPr>
            <w:r>
              <w:rPr>
                <w:sz w:val="20"/>
                <w:lang w:val="en-US"/>
              </w:rPr>
              <w:t>9</w:t>
            </w:r>
          </w:p>
          <w:p w14:paraId="2A6D9674" w14:textId="77777777" w:rsidR="00240031" w:rsidRPr="00085854" w:rsidRDefault="00240031" w:rsidP="00240031">
            <w:pPr>
              <w:rPr>
                <w:sz w:val="20"/>
                <w:lang w:val="en-US"/>
              </w:rPr>
            </w:pPr>
          </w:p>
        </w:tc>
        <w:tc>
          <w:tcPr>
            <w:tcW w:w="1415" w:type="dxa"/>
            <w:tcBorders>
              <w:top w:val="nil"/>
              <w:left w:val="nil"/>
              <w:bottom w:val="nil"/>
              <w:right w:val="nil"/>
            </w:tcBorders>
            <w:hideMark/>
          </w:tcPr>
          <w:p w14:paraId="4931BA81" w14:textId="77777777" w:rsidR="00240031" w:rsidRPr="00A6473B" w:rsidRDefault="00240031" w:rsidP="00240031">
            <w:pPr>
              <w:jc w:val="center"/>
              <w:rPr>
                <w:sz w:val="20"/>
                <w:lang w:val="en-US"/>
              </w:rPr>
            </w:pPr>
            <w:r>
              <w:rPr>
                <w:sz w:val="20"/>
                <w:lang w:val="en-US"/>
              </w:rPr>
              <w:t>18</w:t>
            </w:r>
          </w:p>
        </w:tc>
        <w:tc>
          <w:tcPr>
            <w:tcW w:w="290" w:type="dxa"/>
            <w:tcBorders>
              <w:top w:val="nil"/>
              <w:left w:val="nil"/>
              <w:bottom w:val="nil"/>
              <w:right w:val="nil"/>
            </w:tcBorders>
          </w:tcPr>
          <w:p w14:paraId="13CCC2F4" w14:textId="77777777" w:rsidR="00240031" w:rsidRPr="00085854" w:rsidRDefault="00240031" w:rsidP="00240031">
            <w:pPr>
              <w:jc w:val="both"/>
              <w:rPr>
                <w:sz w:val="20"/>
              </w:rPr>
            </w:pPr>
          </w:p>
        </w:tc>
      </w:tr>
      <w:tr w:rsidR="00240031" w:rsidRPr="00085854" w14:paraId="71569E74" w14:textId="77777777" w:rsidTr="002B42FF">
        <w:trPr>
          <w:trHeight w:val="442"/>
          <w:jc w:val="center"/>
        </w:trPr>
        <w:tc>
          <w:tcPr>
            <w:tcW w:w="2376" w:type="dxa"/>
            <w:tcBorders>
              <w:top w:val="nil"/>
              <w:left w:val="nil"/>
              <w:bottom w:val="single" w:sz="4" w:space="0" w:color="auto"/>
              <w:right w:val="nil"/>
            </w:tcBorders>
          </w:tcPr>
          <w:p w14:paraId="426926EC" w14:textId="77777777" w:rsidR="00240031" w:rsidRPr="00F00DC5" w:rsidRDefault="00240031" w:rsidP="00240031">
            <w:pPr>
              <w:jc w:val="center"/>
              <w:rPr>
                <w:sz w:val="20"/>
                <w:lang w:val="en-US"/>
              </w:rPr>
            </w:pPr>
            <w:r>
              <w:rPr>
                <w:sz w:val="20"/>
                <w:lang w:val="en-US"/>
              </w:rPr>
              <w:lastRenderedPageBreak/>
              <w:t xml:space="preserve">Total </w:t>
            </w:r>
          </w:p>
        </w:tc>
        <w:tc>
          <w:tcPr>
            <w:tcW w:w="1561" w:type="dxa"/>
            <w:tcBorders>
              <w:top w:val="nil"/>
              <w:left w:val="nil"/>
              <w:bottom w:val="single" w:sz="4" w:space="0" w:color="auto"/>
              <w:right w:val="nil"/>
            </w:tcBorders>
          </w:tcPr>
          <w:p w14:paraId="57070533" w14:textId="77777777" w:rsidR="00240031" w:rsidRDefault="00240031" w:rsidP="00240031">
            <w:pPr>
              <w:jc w:val="center"/>
              <w:rPr>
                <w:sz w:val="20"/>
                <w:lang w:val="en-US"/>
              </w:rPr>
            </w:pPr>
            <w:r>
              <w:rPr>
                <w:sz w:val="20"/>
                <w:lang w:val="en-US"/>
              </w:rPr>
              <w:t>47</w:t>
            </w:r>
          </w:p>
        </w:tc>
        <w:tc>
          <w:tcPr>
            <w:tcW w:w="1415" w:type="dxa"/>
            <w:tcBorders>
              <w:top w:val="nil"/>
              <w:left w:val="nil"/>
              <w:bottom w:val="single" w:sz="4" w:space="0" w:color="auto"/>
              <w:right w:val="nil"/>
            </w:tcBorders>
          </w:tcPr>
          <w:p w14:paraId="435F4AB9" w14:textId="77777777" w:rsidR="00240031" w:rsidRDefault="00240031" w:rsidP="00240031">
            <w:pPr>
              <w:jc w:val="center"/>
              <w:rPr>
                <w:sz w:val="20"/>
                <w:lang w:val="en-US"/>
              </w:rPr>
            </w:pPr>
            <w:r>
              <w:rPr>
                <w:sz w:val="20"/>
                <w:lang w:val="en-US"/>
              </w:rPr>
              <w:t>100</w:t>
            </w:r>
          </w:p>
        </w:tc>
        <w:tc>
          <w:tcPr>
            <w:tcW w:w="290" w:type="dxa"/>
            <w:tcBorders>
              <w:top w:val="nil"/>
              <w:left w:val="nil"/>
              <w:bottom w:val="single" w:sz="4" w:space="0" w:color="auto"/>
              <w:right w:val="nil"/>
            </w:tcBorders>
          </w:tcPr>
          <w:p w14:paraId="39C262D7" w14:textId="77777777" w:rsidR="00240031" w:rsidRPr="00085854" w:rsidRDefault="00240031" w:rsidP="00240031">
            <w:pPr>
              <w:jc w:val="both"/>
              <w:rPr>
                <w:sz w:val="20"/>
              </w:rPr>
            </w:pPr>
          </w:p>
        </w:tc>
      </w:tr>
    </w:tbl>
    <w:p w14:paraId="2309CBDE" w14:textId="77777777" w:rsidR="00240031" w:rsidRDefault="00240031" w:rsidP="00240031">
      <w:pPr>
        <w:pStyle w:val="BodytextIndented"/>
        <w:ind w:firstLine="0"/>
        <w:rPr>
          <w:rFonts w:eastAsia="MS Mincho"/>
          <w:szCs w:val="24"/>
          <w:lang w:val="fr-FR"/>
        </w:rPr>
      </w:pPr>
    </w:p>
    <w:p w14:paraId="49DEC3B6" w14:textId="77777777" w:rsidR="00240031" w:rsidRPr="00240031" w:rsidRDefault="00240031" w:rsidP="00240031">
      <w:pPr>
        <w:pStyle w:val="BodytextIndented"/>
        <w:ind w:firstLine="0"/>
      </w:pPr>
      <w:r>
        <w:rPr>
          <w:rFonts w:eastAsia="MS Mincho"/>
          <w:szCs w:val="24"/>
          <w:lang w:val="fr-FR"/>
        </w:rPr>
        <w:t>Latihan fisik dan kebugaran dibutuhkan satpam untuk melawan berbagai beban kerja, baik untuk melawan berbagai ancaman berbahaya dari luar pada saat bertugas maupun melawan ancaman dan halangan dari dalam diri sendiri seperti stres dan kondisi tubuh lainnya. Pekerja satpam cenderung melakukan aktivitas fisik secara rutin, yang akan berpe</w:t>
      </w:r>
      <w:r w:rsidR="00011F0B">
        <w:rPr>
          <w:rFonts w:eastAsia="MS Mincho"/>
          <w:szCs w:val="24"/>
          <w:lang w:val="fr-FR"/>
        </w:rPr>
        <w:t>ngaruh pada perolehan nilai IMT</w:t>
      </w:r>
      <w:proofErr w:type="gramStart"/>
      <w:r w:rsidRPr="00EC48DF">
        <w:rPr>
          <w:rFonts w:eastAsia="MS Mincho"/>
          <w:szCs w:val="24"/>
          <w:lang w:val="fr-FR"/>
        </w:rPr>
        <w:t>.</w:t>
      </w:r>
      <w:r w:rsidR="00011F0B" w:rsidRPr="002B42FF">
        <w:rPr>
          <w:rFonts w:eastAsia="MS Mincho"/>
          <w:szCs w:val="24"/>
          <w:vertAlign w:val="superscript"/>
          <w:lang w:val="fr-FR"/>
        </w:rPr>
        <w:t>[</w:t>
      </w:r>
      <w:proofErr w:type="gramEnd"/>
      <w:r w:rsidR="00011F0B" w:rsidRPr="002B42FF">
        <w:rPr>
          <w:rFonts w:eastAsia="MS Mincho"/>
          <w:szCs w:val="24"/>
          <w:vertAlign w:val="superscript"/>
          <w:lang w:val="fr-FR"/>
        </w:rPr>
        <w:t>12]</w:t>
      </w:r>
    </w:p>
    <w:p w14:paraId="02070293" w14:textId="77777777" w:rsidR="000D188C" w:rsidRPr="008877C6" w:rsidRDefault="00240031" w:rsidP="008877C6">
      <w:pPr>
        <w:pStyle w:val="Subsubsection"/>
        <w:spacing w:after="120"/>
        <w:ind w:left="28"/>
        <w:jc w:val="both"/>
        <w:rPr>
          <w:rFonts w:ascii="Times New Roman" w:hAnsi="Times New Roman"/>
          <w:i w:val="0"/>
          <w:lang w:val="id-ID"/>
        </w:rPr>
      </w:pPr>
      <w:r>
        <w:rPr>
          <w:lang w:val="id-ID"/>
        </w:rPr>
        <w:t xml:space="preserve">Distribusi </w:t>
      </w:r>
      <w:r w:rsidR="000D188C" w:rsidRPr="000D188C">
        <w:rPr>
          <w:lang w:val="id-ID"/>
        </w:rPr>
        <w:t xml:space="preserve">Frekuensi </w:t>
      </w:r>
      <w:r>
        <w:rPr>
          <w:lang w:val="id-ID"/>
        </w:rPr>
        <w:t>APE P</w:t>
      </w:r>
      <w:r w:rsidR="000D188C" w:rsidRPr="000D188C">
        <w:rPr>
          <w:lang w:val="id-ID"/>
        </w:rPr>
        <w:t xml:space="preserve">erokok </w:t>
      </w:r>
      <w:r>
        <w:rPr>
          <w:lang w:val="id-ID"/>
        </w:rPr>
        <w:t>pada Pekerja Satpam UPN “Veteran” Jakarta</w:t>
      </w:r>
      <w:r w:rsidR="00037332">
        <w:t xml:space="preserve">. </w:t>
      </w:r>
      <w:r w:rsidR="00037332" w:rsidRPr="000D188C">
        <w:rPr>
          <w:i w:val="0"/>
          <w:lang w:val="id-ID"/>
        </w:rPr>
        <w:t xml:space="preserve">Berdasarkan Tabel </w:t>
      </w:r>
      <w:r>
        <w:rPr>
          <w:i w:val="0"/>
          <w:lang w:val="id-ID"/>
        </w:rPr>
        <w:t>3</w:t>
      </w:r>
      <w:r w:rsidR="008877C6">
        <w:rPr>
          <w:i w:val="0"/>
          <w:lang w:val="id-ID"/>
        </w:rPr>
        <w:t xml:space="preserve"> menunjukkan bahwa</w:t>
      </w:r>
      <w:r w:rsidR="000D188C" w:rsidRPr="000D188C">
        <w:rPr>
          <w:i w:val="0"/>
          <w:lang w:val="id-ID"/>
        </w:rPr>
        <w:t>,</w:t>
      </w:r>
      <w:r w:rsidR="008877C6">
        <w:rPr>
          <w:i w:val="0"/>
          <w:lang w:val="id-ID"/>
        </w:rPr>
        <w:t xml:space="preserve"> pekerja satpam UPN “Veteran” Jakarta yang mempunyai kategori APE kuning sebanyak 30 orang (66.8%) lebih banyak dibandingkan dengan pekerja satpam yang mempunyai kategoru APE merah sebanyak 16 orang (34%), dan kategori APE hijau sebanyak 1 orang (2.1%).</w:t>
      </w:r>
      <w:r w:rsidR="000D188C" w:rsidRPr="007A7645">
        <w:rPr>
          <w:rFonts w:eastAsia="MS Mincho"/>
          <w:szCs w:val="24"/>
        </w:rPr>
        <w:t xml:space="preserve"> </w:t>
      </w:r>
      <w:r w:rsidR="008877C6">
        <w:rPr>
          <w:rFonts w:eastAsia="MS Mincho"/>
          <w:i w:val="0"/>
          <w:szCs w:val="24"/>
        </w:rPr>
        <w:t xml:space="preserve"> </w:t>
      </w:r>
    </w:p>
    <w:p w14:paraId="61FA72A1" w14:textId="77777777" w:rsidR="00037332" w:rsidRDefault="00037332" w:rsidP="000D188C">
      <w:pPr>
        <w:pStyle w:val="Subsubsection"/>
        <w:numPr>
          <w:ilvl w:val="0"/>
          <w:numId w:val="0"/>
        </w:numPr>
        <w:spacing w:after="120"/>
        <w:ind w:left="28"/>
        <w:jc w:val="center"/>
        <w:rPr>
          <w:rFonts w:ascii="Times New Roman" w:hAnsi="Times New Roman"/>
          <w:lang w:val="id-ID"/>
        </w:rPr>
      </w:pPr>
      <w:r w:rsidRPr="008877C6">
        <w:rPr>
          <w:rFonts w:ascii="Times New Roman" w:hAnsi="Times New Roman"/>
          <w:b/>
          <w:i w:val="0"/>
        </w:rPr>
        <w:t xml:space="preserve">Tabel </w:t>
      </w:r>
      <w:r w:rsidR="008877C6" w:rsidRPr="008877C6">
        <w:rPr>
          <w:rFonts w:ascii="Times New Roman" w:hAnsi="Times New Roman"/>
          <w:b/>
          <w:i w:val="0"/>
          <w:lang w:val="id-ID"/>
        </w:rPr>
        <w:t>3</w:t>
      </w:r>
      <w:r w:rsidRPr="000D188C">
        <w:rPr>
          <w:rFonts w:ascii="Times New Roman" w:hAnsi="Times New Roman"/>
          <w:b/>
        </w:rPr>
        <w:t>.</w:t>
      </w:r>
      <w:r w:rsidRPr="000D188C">
        <w:rPr>
          <w:rFonts w:ascii="Times New Roman" w:hAnsi="Times New Roman"/>
        </w:rPr>
        <w:t xml:space="preserve"> </w:t>
      </w:r>
      <w:r w:rsidR="008877C6" w:rsidRPr="002B42FF">
        <w:rPr>
          <w:rFonts w:ascii="Times New Roman" w:hAnsi="Times New Roman"/>
          <w:i w:val="0"/>
          <w:lang w:val="id-ID"/>
        </w:rPr>
        <w:t>Distribusi Frekuensi APE Perokok pada Pekerja Satpam UPN “Veteran” Jakarta</w:t>
      </w:r>
    </w:p>
    <w:tbl>
      <w:tblPr>
        <w:tblW w:w="0" w:type="auto"/>
        <w:jc w:val="center"/>
        <w:tblBorders>
          <w:top w:val="single" w:sz="4" w:space="0" w:color="auto"/>
          <w:bottom w:val="single" w:sz="4" w:space="0" w:color="auto"/>
        </w:tblBorders>
        <w:tblLook w:val="04A0" w:firstRow="1" w:lastRow="0" w:firstColumn="1" w:lastColumn="0" w:noHBand="0" w:noVBand="1"/>
      </w:tblPr>
      <w:tblGrid>
        <w:gridCol w:w="1668"/>
        <w:gridCol w:w="1278"/>
        <w:gridCol w:w="1415"/>
        <w:gridCol w:w="290"/>
      </w:tblGrid>
      <w:tr w:rsidR="008877C6" w:rsidRPr="00085854" w14:paraId="0A85BC5D" w14:textId="77777777" w:rsidTr="002B42FF">
        <w:trPr>
          <w:trHeight w:val="442"/>
          <w:jc w:val="center"/>
        </w:trPr>
        <w:tc>
          <w:tcPr>
            <w:tcW w:w="1668" w:type="dxa"/>
            <w:tcBorders>
              <w:top w:val="single" w:sz="4" w:space="0" w:color="auto"/>
              <w:left w:val="nil"/>
              <w:bottom w:val="single" w:sz="4" w:space="0" w:color="auto"/>
              <w:right w:val="nil"/>
            </w:tcBorders>
            <w:vAlign w:val="center"/>
            <w:hideMark/>
          </w:tcPr>
          <w:p w14:paraId="600C714A" w14:textId="77777777" w:rsidR="008877C6" w:rsidRPr="00085854" w:rsidRDefault="008877C6" w:rsidP="008877C6">
            <w:pPr>
              <w:jc w:val="center"/>
              <w:rPr>
                <w:b/>
                <w:sz w:val="20"/>
                <w:lang w:val="en-US"/>
              </w:rPr>
            </w:pPr>
            <w:r>
              <w:rPr>
                <w:b/>
                <w:sz w:val="20"/>
                <w:lang w:val="en-US"/>
              </w:rPr>
              <w:t>APE</w:t>
            </w:r>
          </w:p>
        </w:tc>
        <w:tc>
          <w:tcPr>
            <w:tcW w:w="1278" w:type="dxa"/>
            <w:tcBorders>
              <w:top w:val="single" w:sz="4" w:space="0" w:color="auto"/>
              <w:left w:val="nil"/>
              <w:bottom w:val="single" w:sz="4" w:space="0" w:color="auto"/>
              <w:right w:val="nil"/>
            </w:tcBorders>
            <w:vAlign w:val="center"/>
            <w:hideMark/>
          </w:tcPr>
          <w:p w14:paraId="58631CD1" w14:textId="77777777" w:rsidR="008877C6" w:rsidRPr="00085854" w:rsidRDefault="008877C6" w:rsidP="008877C6">
            <w:pPr>
              <w:jc w:val="center"/>
              <w:rPr>
                <w:b/>
                <w:sz w:val="20"/>
              </w:rPr>
            </w:pPr>
            <w:r w:rsidRPr="00085854">
              <w:rPr>
                <w:b/>
                <w:sz w:val="20"/>
              </w:rPr>
              <w:t>N</w:t>
            </w:r>
          </w:p>
        </w:tc>
        <w:tc>
          <w:tcPr>
            <w:tcW w:w="1415" w:type="dxa"/>
            <w:tcBorders>
              <w:top w:val="single" w:sz="4" w:space="0" w:color="auto"/>
              <w:left w:val="nil"/>
              <w:bottom w:val="single" w:sz="4" w:space="0" w:color="auto"/>
              <w:right w:val="nil"/>
            </w:tcBorders>
            <w:vAlign w:val="center"/>
            <w:hideMark/>
          </w:tcPr>
          <w:p w14:paraId="6D555E35" w14:textId="77777777" w:rsidR="008877C6" w:rsidRPr="00085854" w:rsidRDefault="008877C6" w:rsidP="008877C6">
            <w:pPr>
              <w:jc w:val="center"/>
              <w:rPr>
                <w:b/>
                <w:sz w:val="20"/>
              </w:rPr>
            </w:pPr>
            <w:r w:rsidRPr="00085854">
              <w:rPr>
                <w:b/>
                <w:sz w:val="20"/>
              </w:rPr>
              <w:t>%</w:t>
            </w:r>
          </w:p>
        </w:tc>
        <w:tc>
          <w:tcPr>
            <w:tcW w:w="290" w:type="dxa"/>
            <w:tcBorders>
              <w:top w:val="single" w:sz="4" w:space="0" w:color="auto"/>
              <w:left w:val="nil"/>
              <w:bottom w:val="single" w:sz="4" w:space="0" w:color="auto"/>
              <w:right w:val="nil"/>
            </w:tcBorders>
          </w:tcPr>
          <w:p w14:paraId="7F0C00C0" w14:textId="77777777" w:rsidR="008877C6" w:rsidRPr="00085854" w:rsidRDefault="008877C6" w:rsidP="008877C6">
            <w:pPr>
              <w:jc w:val="both"/>
              <w:rPr>
                <w:b/>
                <w:sz w:val="20"/>
              </w:rPr>
            </w:pPr>
          </w:p>
        </w:tc>
      </w:tr>
      <w:tr w:rsidR="008877C6" w:rsidRPr="00085854" w14:paraId="2BEACB3E" w14:textId="77777777" w:rsidTr="002B42FF">
        <w:trPr>
          <w:trHeight w:val="454"/>
          <w:jc w:val="center"/>
        </w:trPr>
        <w:tc>
          <w:tcPr>
            <w:tcW w:w="1668" w:type="dxa"/>
            <w:tcBorders>
              <w:top w:val="single" w:sz="4" w:space="0" w:color="auto"/>
              <w:left w:val="nil"/>
              <w:bottom w:val="nil"/>
              <w:right w:val="nil"/>
            </w:tcBorders>
            <w:hideMark/>
          </w:tcPr>
          <w:p w14:paraId="479803F1" w14:textId="77777777" w:rsidR="008877C6" w:rsidRPr="00085854" w:rsidRDefault="008877C6" w:rsidP="008877C6">
            <w:pPr>
              <w:jc w:val="center"/>
              <w:rPr>
                <w:sz w:val="20"/>
                <w:lang w:val="en-US"/>
              </w:rPr>
            </w:pPr>
            <w:r>
              <w:rPr>
                <w:sz w:val="20"/>
                <w:lang w:val="en-US"/>
              </w:rPr>
              <w:t>Hijau (&gt;80%)</w:t>
            </w:r>
          </w:p>
        </w:tc>
        <w:tc>
          <w:tcPr>
            <w:tcW w:w="1278" w:type="dxa"/>
            <w:tcBorders>
              <w:top w:val="single" w:sz="4" w:space="0" w:color="auto"/>
              <w:left w:val="nil"/>
              <w:bottom w:val="nil"/>
              <w:right w:val="nil"/>
            </w:tcBorders>
            <w:hideMark/>
          </w:tcPr>
          <w:p w14:paraId="2DDC0B52" w14:textId="77777777" w:rsidR="008877C6" w:rsidRPr="00D848B4" w:rsidRDefault="008877C6" w:rsidP="008877C6">
            <w:pPr>
              <w:jc w:val="center"/>
              <w:rPr>
                <w:sz w:val="20"/>
                <w:lang w:val="en-US"/>
              </w:rPr>
            </w:pPr>
            <w:r>
              <w:rPr>
                <w:sz w:val="20"/>
                <w:lang w:val="en-US"/>
              </w:rPr>
              <w:t>1</w:t>
            </w:r>
          </w:p>
        </w:tc>
        <w:tc>
          <w:tcPr>
            <w:tcW w:w="1415" w:type="dxa"/>
            <w:tcBorders>
              <w:top w:val="single" w:sz="4" w:space="0" w:color="auto"/>
              <w:left w:val="nil"/>
              <w:bottom w:val="nil"/>
              <w:right w:val="nil"/>
            </w:tcBorders>
            <w:hideMark/>
          </w:tcPr>
          <w:p w14:paraId="6DAB094D" w14:textId="77777777" w:rsidR="008877C6" w:rsidRPr="00D848B4" w:rsidRDefault="008877C6" w:rsidP="008877C6">
            <w:pPr>
              <w:jc w:val="center"/>
              <w:rPr>
                <w:sz w:val="20"/>
                <w:lang w:val="en-US"/>
              </w:rPr>
            </w:pPr>
            <w:r>
              <w:rPr>
                <w:sz w:val="20"/>
                <w:lang w:val="en-US"/>
              </w:rPr>
              <w:t>2.1</w:t>
            </w:r>
          </w:p>
        </w:tc>
        <w:tc>
          <w:tcPr>
            <w:tcW w:w="290" w:type="dxa"/>
            <w:tcBorders>
              <w:top w:val="single" w:sz="4" w:space="0" w:color="auto"/>
              <w:left w:val="nil"/>
              <w:bottom w:val="nil"/>
              <w:right w:val="nil"/>
            </w:tcBorders>
          </w:tcPr>
          <w:p w14:paraId="5590B7DF" w14:textId="77777777" w:rsidR="008877C6" w:rsidRPr="00085854" w:rsidRDefault="008877C6" w:rsidP="008877C6">
            <w:pPr>
              <w:jc w:val="both"/>
              <w:rPr>
                <w:sz w:val="20"/>
              </w:rPr>
            </w:pPr>
          </w:p>
        </w:tc>
      </w:tr>
      <w:tr w:rsidR="008877C6" w:rsidRPr="00085854" w14:paraId="277771FE" w14:textId="77777777" w:rsidTr="002B42FF">
        <w:trPr>
          <w:trHeight w:val="454"/>
          <w:jc w:val="center"/>
        </w:trPr>
        <w:tc>
          <w:tcPr>
            <w:tcW w:w="1668" w:type="dxa"/>
            <w:tcBorders>
              <w:top w:val="nil"/>
              <w:left w:val="nil"/>
              <w:bottom w:val="nil"/>
              <w:right w:val="nil"/>
            </w:tcBorders>
            <w:hideMark/>
          </w:tcPr>
          <w:p w14:paraId="6983CC35" w14:textId="77777777" w:rsidR="008877C6" w:rsidRPr="00085854" w:rsidRDefault="008877C6" w:rsidP="008877C6">
            <w:pPr>
              <w:jc w:val="center"/>
              <w:rPr>
                <w:sz w:val="20"/>
                <w:lang w:val="en-US"/>
              </w:rPr>
            </w:pPr>
            <w:proofErr w:type="gramStart"/>
            <w:r>
              <w:rPr>
                <w:sz w:val="20"/>
                <w:lang w:val="en-US"/>
              </w:rPr>
              <w:t>Kuning(</w:t>
            </w:r>
            <w:proofErr w:type="gramEnd"/>
            <w:r>
              <w:rPr>
                <w:sz w:val="20"/>
                <w:lang w:val="en-US"/>
              </w:rPr>
              <w:t>50-80%)</w:t>
            </w:r>
          </w:p>
        </w:tc>
        <w:tc>
          <w:tcPr>
            <w:tcW w:w="1278" w:type="dxa"/>
            <w:tcBorders>
              <w:top w:val="nil"/>
              <w:left w:val="nil"/>
              <w:bottom w:val="nil"/>
              <w:right w:val="nil"/>
            </w:tcBorders>
            <w:hideMark/>
          </w:tcPr>
          <w:p w14:paraId="003E006C" w14:textId="77777777" w:rsidR="008877C6" w:rsidRPr="00D848B4" w:rsidRDefault="008877C6" w:rsidP="008877C6">
            <w:pPr>
              <w:jc w:val="center"/>
              <w:rPr>
                <w:sz w:val="20"/>
                <w:lang w:val="en-US"/>
              </w:rPr>
            </w:pPr>
            <w:r>
              <w:rPr>
                <w:sz w:val="20"/>
                <w:lang w:val="en-US"/>
              </w:rPr>
              <w:t>30</w:t>
            </w:r>
          </w:p>
        </w:tc>
        <w:tc>
          <w:tcPr>
            <w:tcW w:w="1415" w:type="dxa"/>
            <w:tcBorders>
              <w:top w:val="nil"/>
              <w:left w:val="nil"/>
              <w:bottom w:val="nil"/>
              <w:right w:val="nil"/>
            </w:tcBorders>
            <w:hideMark/>
          </w:tcPr>
          <w:p w14:paraId="65A2E9AD" w14:textId="77777777" w:rsidR="008877C6" w:rsidRPr="00D848B4" w:rsidRDefault="008877C6" w:rsidP="008877C6">
            <w:pPr>
              <w:jc w:val="center"/>
              <w:rPr>
                <w:sz w:val="20"/>
                <w:lang w:val="en-US"/>
              </w:rPr>
            </w:pPr>
            <w:r>
              <w:rPr>
                <w:sz w:val="20"/>
                <w:lang w:val="en-US"/>
              </w:rPr>
              <w:t>66.8</w:t>
            </w:r>
          </w:p>
        </w:tc>
        <w:tc>
          <w:tcPr>
            <w:tcW w:w="290" w:type="dxa"/>
            <w:tcBorders>
              <w:top w:val="nil"/>
              <w:left w:val="nil"/>
              <w:bottom w:val="nil"/>
              <w:right w:val="nil"/>
            </w:tcBorders>
          </w:tcPr>
          <w:p w14:paraId="35EB85C4" w14:textId="77777777" w:rsidR="008877C6" w:rsidRPr="00085854" w:rsidRDefault="008877C6" w:rsidP="008877C6">
            <w:pPr>
              <w:jc w:val="both"/>
              <w:rPr>
                <w:sz w:val="20"/>
              </w:rPr>
            </w:pPr>
          </w:p>
        </w:tc>
      </w:tr>
      <w:tr w:rsidR="008877C6" w:rsidRPr="00085854" w14:paraId="06A7073A" w14:textId="77777777" w:rsidTr="002B42FF">
        <w:trPr>
          <w:trHeight w:val="442"/>
          <w:jc w:val="center"/>
        </w:trPr>
        <w:tc>
          <w:tcPr>
            <w:tcW w:w="1668" w:type="dxa"/>
            <w:tcBorders>
              <w:top w:val="nil"/>
              <w:left w:val="nil"/>
              <w:bottom w:val="nil"/>
              <w:right w:val="nil"/>
            </w:tcBorders>
            <w:hideMark/>
          </w:tcPr>
          <w:p w14:paraId="2C5CE32F" w14:textId="77777777" w:rsidR="008877C6" w:rsidRPr="00085854" w:rsidRDefault="008877C6" w:rsidP="008877C6">
            <w:pPr>
              <w:jc w:val="center"/>
              <w:rPr>
                <w:sz w:val="20"/>
                <w:lang w:val="en-US"/>
              </w:rPr>
            </w:pPr>
            <w:r>
              <w:rPr>
                <w:sz w:val="20"/>
                <w:lang w:val="en-US"/>
              </w:rPr>
              <w:t>Merah (&lt;50%)</w:t>
            </w:r>
          </w:p>
        </w:tc>
        <w:tc>
          <w:tcPr>
            <w:tcW w:w="1278" w:type="dxa"/>
            <w:tcBorders>
              <w:top w:val="nil"/>
              <w:left w:val="nil"/>
              <w:bottom w:val="nil"/>
              <w:right w:val="nil"/>
            </w:tcBorders>
            <w:hideMark/>
          </w:tcPr>
          <w:p w14:paraId="0284479D" w14:textId="77777777" w:rsidR="008877C6" w:rsidRPr="00D848B4" w:rsidRDefault="008877C6" w:rsidP="008877C6">
            <w:pPr>
              <w:jc w:val="center"/>
              <w:rPr>
                <w:sz w:val="20"/>
                <w:lang w:val="en-US"/>
              </w:rPr>
            </w:pPr>
            <w:r>
              <w:rPr>
                <w:sz w:val="20"/>
                <w:lang w:val="en-US"/>
              </w:rPr>
              <w:t>16</w:t>
            </w:r>
          </w:p>
        </w:tc>
        <w:tc>
          <w:tcPr>
            <w:tcW w:w="1415" w:type="dxa"/>
            <w:tcBorders>
              <w:top w:val="nil"/>
              <w:left w:val="nil"/>
              <w:bottom w:val="nil"/>
              <w:right w:val="nil"/>
            </w:tcBorders>
            <w:hideMark/>
          </w:tcPr>
          <w:p w14:paraId="27BBF4BB" w14:textId="77777777" w:rsidR="008877C6" w:rsidRPr="00D848B4" w:rsidRDefault="008877C6" w:rsidP="008877C6">
            <w:pPr>
              <w:jc w:val="center"/>
              <w:rPr>
                <w:sz w:val="20"/>
                <w:lang w:val="en-US"/>
              </w:rPr>
            </w:pPr>
            <w:r>
              <w:rPr>
                <w:sz w:val="20"/>
                <w:lang w:val="en-US"/>
              </w:rPr>
              <w:t>34</w:t>
            </w:r>
          </w:p>
        </w:tc>
        <w:tc>
          <w:tcPr>
            <w:tcW w:w="290" w:type="dxa"/>
            <w:tcBorders>
              <w:top w:val="nil"/>
              <w:left w:val="nil"/>
              <w:bottom w:val="nil"/>
              <w:right w:val="nil"/>
            </w:tcBorders>
          </w:tcPr>
          <w:p w14:paraId="70A8613B" w14:textId="77777777" w:rsidR="008877C6" w:rsidRPr="00085854" w:rsidRDefault="008877C6" w:rsidP="008877C6">
            <w:pPr>
              <w:jc w:val="both"/>
              <w:rPr>
                <w:sz w:val="20"/>
              </w:rPr>
            </w:pPr>
          </w:p>
        </w:tc>
      </w:tr>
      <w:tr w:rsidR="008877C6" w:rsidRPr="00085854" w14:paraId="037AFBA8" w14:textId="77777777" w:rsidTr="002B42FF">
        <w:trPr>
          <w:trHeight w:val="77"/>
          <w:jc w:val="center"/>
        </w:trPr>
        <w:tc>
          <w:tcPr>
            <w:tcW w:w="1668" w:type="dxa"/>
            <w:tcBorders>
              <w:top w:val="nil"/>
              <w:left w:val="nil"/>
              <w:bottom w:val="single" w:sz="4" w:space="0" w:color="auto"/>
              <w:right w:val="nil"/>
            </w:tcBorders>
            <w:hideMark/>
          </w:tcPr>
          <w:p w14:paraId="50CCFA09" w14:textId="77777777" w:rsidR="008877C6" w:rsidRPr="00085854" w:rsidRDefault="008877C6" w:rsidP="008877C6">
            <w:pPr>
              <w:jc w:val="center"/>
              <w:rPr>
                <w:sz w:val="20"/>
              </w:rPr>
            </w:pPr>
            <w:r w:rsidRPr="00085854">
              <w:rPr>
                <w:sz w:val="20"/>
              </w:rPr>
              <w:t>Total</w:t>
            </w:r>
          </w:p>
        </w:tc>
        <w:tc>
          <w:tcPr>
            <w:tcW w:w="1278" w:type="dxa"/>
            <w:tcBorders>
              <w:top w:val="nil"/>
              <w:left w:val="nil"/>
              <w:bottom w:val="single" w:sz="4" w:space="0" w:color="auto"/>
              <w:right w:val="nil"/>
            </w:tcBorders>
            <w:hideMark/>
          </w:tcPr>
          <w:p w14:paraId="62A10D6C" w14:textId="77777777" w:rsidR="008877C6" w:rsidRPr="00085854" w:rsidRDefault="008877C6" w:rsidP="008877C6">
            <w:pPr>
              <w:jc w:val="center"/>
              <w:rPr>
                <w:sz w:val="20"/>
                <w:lang w:val="en-US"/>
              </w:rPr>
            </w:pPr>
            <w:r>
              <w:rPr>
                <w:sz w:val="20"/>
                <w:lang w:val="en-US"/>
              </w:rPr>
              <w:t>47</w:t>
            </w:r>
          </w:p>
        </w:tc>
        <w:tc>
          <w:tcPr>
            <w:tcW w:w="1415" w:type="dxa"/>
            <w:tcBorders>
              <w:top w:val="nil"/>
              <w:left w:val="nil"/>
              <w:bottom w:val="single" w:sz="4" w:space="0" w:color="auto"/>
              <w:right w:val="nil"/>
            </w:tcBorders>
            <w:hideMark/>
          </w:tcPr>
          <w:p w14:paraId="578CE67D" w14:textId="77777777" w:rsidR="008877C6" w:rsidRPr="00085854" w:rsidRDefault="008877C6" w:rsidP="008877C6">
            <w:pPr>
              <w:jc w:val="center"/>
              <w:rPr>
                <w:sz w:val="20"/>
              </w:rPr>
            </w:pPr>
            <w:r>
              <w:rPr>
                <w:sz w:val="20"/>
              </w:rPr>
              <w:t>100</w:t>
            </w:r>
          </w:p>
        </w:tc>
        <w:tc>
          <w:tcPr>
            <w:tcW w:w="290" w:type="dxa"/>
            <w:tcBorders>
              <w:top w:val="nil"/>
              <w:left w:val="nil"/>
              <w:bottom w:val="single" w:sz="4" w:space="0" w:color="auto"/>
              <w:right w:val="nil"/>
            </w:tcBorders>
          </w:tcPr>
          <w:p w14:paraId="537325B9" w14:textId="77777777" w:rsidR="008877C6" w:rsidRPr="00085854" w:rsidRDefault="008877C6" w:rsidP="008877C6">
            <w:pPr>
              <w:jc w:val="both"/>
              <w:rPr>
                <w:sz w:val="20"/>
              </w:rPr>
            </w:pPr>
          </w:p>
        </w:tc>
      </w:tr>
    </w:tbl>
    <w:p w14:paraId="20152085" w14:textId="77777777" w:rsidR="00FA5C04" w:rsidRDefault="00FA5C04" w:rsidP="00FA5C04">
      <w:pPr>
        <w:pStyle w:val="BodytextIndented"/>
      </w:pPr>
    </w:p>
    <w:p w14:paraId="658D428A" w14:textId="77777777" w:rsidR="00FA5C04" w:rsidRDefault="008877C6" w:rsidP="008877C6">
      <w:pPr>
        <w:spacing w:after="200"/>
        <w:contextualSpacing/>
        <w:jc w:val="both"/>
        <w:rPr>
          <w:rFonts w:eastAsia="MS Mincho"/>
          <w:szCs w:val="24"/>
          <w:lang w:val="fr-FR"/>
        </w:rPr>
      </w:pPr>
      <w:r>
        <w:rPr>
          <w:rFonts w:eastAsia="MS Mincho"/>
          <w:szCs w:val="24"/>
          <w:lang w:val="fr-FR"/>
        </w:rPr>
        <w:t>F</w:t>
      </w:r>
      <w:r w:rsidRPr="007A7645">
        <w:rPr>
          <w:rFonts w:eastAsia="MS Mincho"/>
          <w:szCs w:val="24"/>
          <w:lang w:val="fr-FR"/>
        </w:rPr>
        <w:t>aal paru-paru setelah usia 9-21 tahun akan terus menurun sesuai dengan bertambahnya usia</w:t>
      </w:r>
      <w:r>
        <w:rPr>
          <w:rFonts w:eastAsia="MS Mincho"/>
          <w:szCs w:val="24"/>
          <w:lang w:val="fr-FR"/>
        </w:rPr>
        <w:t xml:space="preserve">. Hal ini sejalan dengan </w:t>
      </w:r>
      <w:r w:rsidRPr="00920228">
        <w:rPr>
          <w:rFonts w:eastAsia="MS Mincho"/>
          <w:szCs w:val="24"/>
          <w:lang w:val="fr-FR"/>
        </w:rPr>
        <w:t>teori Guyton (2016) yang mengataka</w:t>
      </w:r>
      <w:bookmarkStart w:id="0" w:name="_GoBack"/>
      <w:bookmarkEnd w:id="0"/>
      <w:r w:rsidRPr="00920228">
        <w:rPr>
          <w:rFonts w:eastAsia="MS Mincho"/>
          <w:szCs w:val="24"/>
          <w:lang w:val="fr-FR"/>
        </w:rPr>
        <w:t>n, semakin tua seseorang maka fungsi ventilasi parunya</w:t>
      </w:r>
      <w:r>
        <w:rPr>
          <w:rFonts w:eastAsia="MS Mincho"/>
          <w:szCs w:val="24"/>
          <w:lang w:val="fr-FR"/>
        </w:rPr>
        <w:t xml:space="preserve"> akan semakin menurun. Hal ini disebabkan semakin menurunnya elastisitas dinding dada. Selama proses penuaan terjadi penurunan elastisitas alveoli, penebalan kelenjar bronkial, penurunan kapasitas paru-paru, dan </w:t>
      </w:r>
      <w:r w:rsidRPr="00920228">
        <w:rPr>
          <w:rFonts w:eastAsia="MS Mincho"/>
          <w:szCs w:val="24"/>
          <w:lang w:val="fr-FR"/>
        </w:rPr>
        <w:t>peningkatan jumlah ruang rugi. Perubahan ini menyebabkan penurun</w:t>
      </w:r>
      <w:r w:rsidR="00011F0B">
        <w:rPr>
          <w:rFonts w:eastAsia="MS Mincho"/>
          <w:szCs w:val="24"/>
          <w:lang w:val="fr-FR"/>
        </w:rPr>
        <w:t>an difusi oksigen</w:t>
      </w:r>
      <w:proofErr w:type="gramStart"/>
      <w:r w:rsidRPr="00920228">
        <w:rPr>
          <w:rFonts w:eastAsia="MS Mincho"/>
          <w:szCs w:val="24"/>
          <w:lang w:val="fr-FR"/>
        </w:rPr>
        <w:t>.</w:t>
      </w:r>
      <w:r w:rsidR="00011F0B" w:rsidRPr="002B42FF">
        <w:rPr>
          <w:rFonts w:eastAsia="MS Mincho"/>
          <w:szCs w:val="24"/>
          <w:vertAlign w:val="superscript"/>
          <w:lang w:val="fr-FR"/>
        </w:rPr>
        <w:t>[</w:t>
      </w:r>
      <w:proofErr w:type="gramEnd"/>
      <w:r w:rsidR="00011F0B" w:rsidRPr="002B42FF">
        <w:rPr>
          <w:rFonts w:eastAsia="MS Mincho"/>
          <w:szCs w:val="24"/>
          <w:vertAlign w:val="superscript"/>
          <w:lang w:val="fr-FR"/>
        </w:rPr>
        <w:t>13]</w:t>
      </w:r>
    </w:p>
    <w:p w14:paraId="773E991F" w14:textId="77777777" w:rsidR="008877C6" w:rsidRPr="008877C6" w:rsidRDefault="008877C6" w:rsidP="008877C6">
      <w:pPr>
        <w:spacing w:after="200"/>
        <w:contextualSpacing/>
        <w:jc w:val="both"/>
        <w:rPr>
          <w:rFonts w:eastAsia="MS Mincho"/>
          <w:szCs w:val="24"/>
        </w:rPr>
      </w:pPr>
    </w:p>
    <w:p w14:paraId="3785372B" w14:textId="77777777" w:rsidR="00187DD8" w:rsidRDefault="00187DD8" w:rsidP="00187DD8">
      <w:pPr>
        <w:pStyle w:val="Heading2"/>
        <w:rPr>
          <w:lang w:val="id-ID"/>
        </w:rPr>
      </w:pPr>
      <w:r>
        <w:rPr>
          <w:lang w:val="id-ID"/>
        </w:rPr>
        <w:t>Hasil analisis bivariat</w:t>
      </w:r>
    </w:p>
    <w:p w14:paraId="0CA23EAC" w14:textId="77777777" w:rsidR="00187DD8" w:rsidRPr="008877C6" w:rsidRDefault="008877C6" w:rsidP="008877C6">
      <w:pPr>
        <w:pStyle w:val="Subsubsection"/>
        <w:ind w:left="0"/>
        <w:jc w:val="both"/>
        <w:rPr>
          <w:lang w:val="id-ID"/>
        </w:rPr>
      </w:pPr>
      <w:r>
        <w:t>Frekuensi Derajat Berat Merokok terhadap Nilai APE.</w:t>
      </w:r>
      <w:r>
        <w:rPr>
          <w:lang w:val="id-ID"/>
        </w:rPr>
        <w:t xml:space="preserve"> </w:t>
      </w:r>
      <w:r w:rsidRPr="008877C6">
        <w:rPr>
          <w:i w:val="0"/>
          <w:lang w:val="id-ID"/>
        </w:rPr>
        <w:t>Berdasarkan Tabel 4,</w:t>
      </w:r>
      <w:r w:rsidR="00187DD8" w:rsidRPr="008877C6">
        <w:rPr>
          <w:i w:val="0"/>
          <w:lang w:val="id-ID"/>
        </w:rPr>
        <w:t xml:space="preserve"> </w:t>
      </w:r>
      <w:r w:rsidRPr="008877C6">
        <w:rPr>
          <w:rFonts w:eastAsia="MS Mincho"/>
          <w:i w:val="0"/>
          <w:szCs w:val="24"/>
        </w:rPr>
        <w:t>pekerja satpam yang mempunyai derajat keparahan merokok ringan dan sedang dengan hasil pengukuran APE hijau dan kuning sebanyak 29 orang (72.5%) lebih banyak dibandingkan pekerja satpam yang mempunyai derajat keparahan merokok berat dengan hasil pengukuran APE hijau dan kuning sebanyak 2 orang (28.6%) dan pekerja satpam yang mempunyai derajat keparahan merokok ringan dan sedang dengan hasil pengukuran APE merah sebanyak 11 orang (27.5%) lebih banyak dibandingkan pekerja satpam yang mempunyai derajat keparahan merokok berat dengan hasil pengukuran APE merah sebanyak 5 orang (71.4%). Berdasarkan hasil uji Chi-square diperoleh p value sebesar 0.036 &lt; 0.05 artinya terdapat pengaruh yang bermakna antara derajat keparahan merokok terhadap nilai APE.</w:t>
      </w:r>
    </w:p>
    <w:p w14:paraId="474AFBFD" w14:textId="77777777" w:rsidR="008877C6" w:rsidRDefault="008877C6" w:rsidP="00B65431">
      <w:pPr>
        <w:pStyle w:val="TableCaptionCentred"/>
        <w:ind w:left="28"/>
        <w:rPr>
          <w:rFonts w:ascii="Times New Roman" w:hAnsi="Times New Roman"/>
          <w:b/>
        </w:rPr>
      </w:pPr>
    </w:p>
    <w:p w14:paraId="22B1F8E5" w14:textId="77777777" w:rsidR="002B42FF" w:rsidRDefault="002B42FF" w:rsidP="00B65431">
      <w:pPr>
        <w:pStyle w:val="TableCaptionCentred"/>
        <w:ind w:left="28"/>
        <w:rPr>
          <w:rFonts w:ascii="Times New Roman" w:hAnsi="Times New Roman"/>
          <w:b/>
        </w:rPr>
      </w:pPr>
    </w:p>
    <w:p w14:paraId="20A636D2" w14:textId="77777777" w:rsidR="002B42FF" w:rsidRDefault="002B42FF" w:rsidP="00B65431">
      <w:pPr>
        <w:pStyle w:val="TableCaptionCentred"/>
        <w:ind w:left="28"/>
        <w:rPr>
          <w:rFonts w:ascii="Times New Roman" w:hAnsi="Times New Roman"/>
          <w:b/>
        </w:rPr>
      </w:pPr>
    </w:p>
    <w:p w14:paraId="2391D0A9" w14:textId="77777777" w:rsidR="002B42FF" w:rsidRDefault="002B42FF" w:rsidP="00B65431">
      <w:pPr>
        <w:pStyle w:val="TableCaptionCentred"/>
        <w:ind w:left="28"/>
        <w:rPr>
          <w:rFonts w:ascii="Times New Roman" w:hAnsi="Times New Roman"/>
          <w:b/>
        </w:rPr>
      </w:pPr>
    </w:p>
    <w:p w14:paraId="2BFEA9FB" w14:textId="77777777" w:rsidR="002B42FF" w:rsidRDefault="002B42FF" w:rsidP="00B65431">
      <w:pPr>
        <w:pStyle w:val="TableCaptionCentred"/>
        <w:ind w:left="28"/>
        <w:rPr>
          <w:rFonts w:ascii="Times New Roman" w:hAnsi="Times New Roman"/>
          <w:b/>
        </w:rPr>
      </w:pPr>
    </w:p>
    <w:p w14:paraId="63CBB9B4" w14:textId="77777777" w:rsidR="00C454AA" w:rsidRDefault="00C454AA" w:rsidP="00B65431">
      <w:pPr>
        <w:pStyle w:val="TableCaptionCentred"/>
        <w:ind w:left="28"/>
        <w:rPr>
          <w:rFonts w:ascii="Times New Roman" w:hAnsi="Times New Roman"/>
          <w:lang w:val="id-ID"/>
        </w:rPr>
      </w:pPr>
      <w:r>
        <w:rPr>
          <w:rFonts w:ascii="Times New Roman" w:hAnsi="Times New Roman"/>
          <w:b/>
        </w:rPr>
        <w:t xml:space="preserve">Tabel </w:t>
      </w:r>
      <w:r w:rsidR="008877C6">
        <w:rPr>
          <w:rFonts w:ascii="Times New Roman" w:hAnsi="Times New Roman"/>
          <w:b/>
          <w:lang w:val="id-ID"/>
        </w:rPr>
        <w:t>4</w:t>
      </w:r>
      <w:r w:rsidRPr="00CE57CF">
        <w:rPr>
          <w:rFonts w:ascii="Times New Roman" w:hAnsi="Times New Roman"/>
          <w:b/>
        </w:rPr>
        <w:t>.</w:t>
      </w:r>
      <w:r w:rsidRPr="00CE57CF">
        <w:rPr>
          <w:rFonts w:ascii="Times New Roman" w:hAnsi="Times New Roman"/>
        </w:rPr>
        <w:t xml:space="preserve"> </w:t>
      </w:r>
      <w:r w:rsidR="008877C6">
        <w:rPr>
          <w:rFonts w:ascii="Times New Roman" w:hAnsi="Times New Roman"/>
          <w:lang w:val="id-ID"/>
        </w:rPr>
        <w:t>Frekuensi Derajat Berat Merokok terhadap Nilai APE</w:t>
      </w:r>
    </w:p>
    <w:tbl>
      <w:tblPr>
        <w:tblW w:w="7323" w:type="dxa"/>
        <w:jc w:val="center"/>
        <w:tblLayout w:type="fixed"/>
        <w:tblLook w:val="04A0" w:firstRow="1" w:lastRow="0" w:firstColumn="1" w:lastColumn="0" w:noHBand="0" w:noVBand="1"/>
      </w:tblPr>
      <w:tblGrid>
        <w:gridCol w:w="1418"/>
        <w:gridCol w:w="1559"/>
        <w:gridCol w:w="1417"/>
        <w:gridCol w:w="567"/>
        <w:gridCol w:w="425"/>
        <w:gridCol w:w="567"/>
        <w:gridCol w:w="93"/>
        <w:gridCol w:w="1183"/>
        <w:gridCol w:w="94"/>
      </w:tblGrid>
      <w:tr w:rsidR="002B42FF" w:rsidRPr="00BC09E0" w14:paraId="01CB5B6A" w14:textId="77777777" w:rsidTr="002B42FF">
        <w:trPr>
          <w:trHeight w:val="300"/>
          <w:jc w:val="center"/>
        </w:trPr>
        <w:tc>
          <w:tcPr>
            <w:tcW w:w="1418" w:type="dxa"/>
            <w:tcBorders>
              <w:top w:val="single" w:sz="4" w:space="0" w:color="auto"/>
              <w:left w:val="nil"/>
              <w:bottom w:val="nil"/>
              <w:right w:val="nil"/>
            </w:tcBorders>
            <w:shd w:val="clear" w:color="auto" w:fill="auto"/>
            <w:noWrap/>
            <w:vAlign w:val="bottom"/>
            <w:hideMark/>
          </w:tcPr>
          <w:p w14:paraId="19A01F16" w14:textId="77777777" w:rsidR="008877C6" w:rsidRPr="00BC09E0" w:rsidRDefault="008877C6" w:rsidP="008877C6">
            <w:pPr>
              <w:rPr>
                <w:color w:val="000000"/>
                <w:sz w:val="20"/>
              </w:rPr>
            </w:pPr>
            <w:r w:rsidRPr="00BC09E0">
              <w:rPr>
                <w:color w:val="000000"/>
                <w:sz w:val="20"/>
              </w:rPr>
              <w:lastRenderedPageBreak/>
              <w:t> </w:t>
            </w:r>
          </w:p>
        </w:tc>
        <w:tc>
          <w:tcPr>
            <w:tcW w:w="1559" w:type="dxa"/>
            <w:tcBorders>
              <w:top w:val="single" w:sz="4" w:space="0" w:color="auto"/>
              <w:left w:val="nil"/>
              <w:bottom w:val="nil"/>
              <w:right w:val="nil"/>
            </w:tcBorders>
            <w:shd w:val="clear" w:color="auto" w:fill="auto"/>
            <w:noWrap/>
            <w:vAlign w:val="center"/>
            <w:hideMark/>
          </w:tcPr>
          <w:p w14:paraId="2ED549AA" w14:textId="77777777" w:rsidR="008877C6" w:rsidRPr="00BC09E0" w:rsidRDefault="008877C6" w:rsidP="008877C6">
            <w:pPr>
              <w:rPr>
                <w:color w:val="000000"/>
                <w:sz w:val="20"/>
              </w:rPr>
            </w:pPr>
            <w:r w:rsidRPr="00BC09E0">
              <w:rPr>
                <w:color w:val="000000"/>
                <w:sz w:val="20"/>
              </w:rPr>
              <w:t> </w:t>
            </w:r>
          </w:p>
        </w:tc>
        <w:tc>
          <w:tcPr>
            <w:tcW w:w="2976" w:type="dxa"/>
            <w:gridSpan w:val="4"/>
            <w:tcBorders>
              <w:top w:val="single" w:sz="4" w:space="0" w:color="auto"/>
              <w:left w:val="nil"/>
              <w:bottom w:val="nil"/>
              <w:right w:val="nil"/>
            </w:tcBorders>
            <w:shd w:val="clear" w:color="auto" w:fill="auto"/>
            <w:noWrap/>
            <w:vAlign w:val="center"/>
            <w:hideMark/>
          </w:tcPr>
          <w:p w14:paraId="4777BADA" w14:textId="77777777" w:rsidR="008877C6" w:rsidRPr="00BC09E0" w:rsidRDefault="008877C6" w:rsidP="008877C6">
            <w:pPr>
              <w:jc w:val="center"/>
              <w:rPr>
                <w:b/>
                <w:color w:val="000000"/>
                <w:sz w:val="20"/>
              </w:rPr>
            </w:pPr>
            <w:r w:rsidRPr="00BC09E0">
              <w:rPr>
                <w:b/>
                <w:color w:val="000000"/>
                <w:sz w:val="20"/>
              </w:rPr>
              <w:t>Arus Puncak Ekspirasi</w:t>
            </w:r>
          </w:p>
        </w:tc>
        <w:tc>
          <w:tcPr>
            <w:tcW w:w="1370" w:type="dxa"/>
            <w:gridSpan w:val="3"/>
            <w:vMerge w:val="restart"/>
            <w:tcBorders>
              <w:top w:val="single" w:sz="4" w:space="0" w:color="auto"/>
              <w:left w:val="nil"/>
              <w:bottom w:val="single" w:sz="4" w:space="0" w:color="000000"/>
              <w:right w:val="nil"/>
            </w:tcBorders>
            <w:shd w:val="clear" w:color="auto" w:fill="auto"/>
            <w:noWrap/>
            <w:vAlign w:val="center"/>
            <w:hideMark/>
          </w:tcPr>
          <w:p w14:paraId="57480A98" w14:textId="77777777" w:rsidR="008877C6" w:rsidRPr="00BC09E0" w:rsidRDefault="008877C6" w:rsidP="008877C6">
            <w:pPr>
              <w:jc w:val="center"/>
              <w:rPr>
                <w:b/>
                <w:color w:val="000000"/>
                <w:sz w:val="20"/>
              </w:rPr>
            </w:pPr>
            <w:r w:rsidRPr="00BC09E0">
              <w:rPr>
                <w:b/>
                <w:color w:val="000000"/>
                <w:sz w:val="20"/>
              </w:rPr>
              <w:t>Nilai P</w:t>
            </w:r>
          </w:p>
        </w:tc>
      </w:tr>
      <w:tr w:rsidR="002B42FF" w:rsidRPr="00BC09E0" w14:paraId="031C355D" w14:textId="77777777" w:rsidTr="002B42FF">
        <w:trPr>
          <w:trHeight w:val="300"/>
          <w:jc w:val="center"/>
        </w:trPr>
        <w:tc>
          <w:tcPr>
            <w:tcW w:w="1418" w:type="dxa"/>
            <w:tcBorders>
              <w:top w:val="nil"/>
              <w:left w:val="nil"/>
              <w:bottom w:val="nil"/>
              <w:right w:val="nil"/>
            </w:tcBorders>
            <w:shd w:val="clear" w:color="auto" w:fill="auto"/>
            <w:noWrap/>
            <w:vAlign w:val="bottom"/>
            <w:hideMark/>
          </w:tcPr>
          <w:p w14:paraId="717E9E16" w14:textId="77777777" w:rsidR="008877C6" w:rsidRPr="00BC09E0" w:rsidRDefault="008877C6" w:rsidP="008877C6">
            <w:pPr>
              <w:rPr>
                <w:color w:val="000000"/>
                <w:sz w:val="20"/>
              </w:rPr>
            </w:pPr>
          </w:p>
        </w:tc>
        <w:tc>
          <w:tcPr>
            <w:tcW w:w="1559" w:type="dxa"/>
            <w:tcBorders>
              <w:top w:val="nil"/>
              <w:left w:val="nil"/>
              <w:bottom w:val="nil"/>
              <w:right w:val="nil"/>
            </w:tcBorders>
            <w:shd w:val="clear" w:color="auto" w:fill="auto"/>
            <w:noWrap/>
            <w:vAlign w:val="bottom"/>
            <w:hideMark/>
          </w:tcPr>
          <w:p w14:paraId="2183B51F" w14:textId="77777777" w:rsidR="008877C6" w:rsidRPr="00BC09E0" w:rsidRDefault="008877C6" w:rsidP="008877C6">
            <w:pPr>
              <w:rPr>
                <w:color w:val="000000"/>
                <w:sz w:val="20"/>
              </w:rPr>
            </w:pPr>
          </w:p>
        </w:tc>
        <w:tc>
          <w:tcPr>
            <w:tcW w:w="1984" w:type="dxa"/>
            <w:gridSpan w:val="2"/>
            <w:tcBorders>
              <w:top w:val="single" w:sz="4" w:space="0" w:color="auto"/>
              <w:left w:val="nil"/>
              <w:bottom w:val="single" w:sz="4" w:space="0" w:color="auto"/>
              <w:right w:val="nil"/>
            </w:tcBorders>
            <w:shd w:val="clear" w:color="auto" w:fill="auto"/>
            <w:noWrap/>
            <w:vAlign w:val="center"/>
            <w:hideMark/>
          </w:tcPr>
          <w:p w14:paraId="54C82BDF" w14:textId="77777777" w:rsidR="008877C6" w:rsidRPr="00BC09E0" w:rsidRDefault="008877C6" w:rsidP="008877C6">
            <w:pPr>
              <w:jc w:val="center"/>
              <w:rPr>
                <w:b/>
                <w:color w:val="000000"/>
                <w:sz w:val="20"/>
              </w:rPr>
            </w:pPr>
            <w:r w:rsidRPr="00BC09E0">
              <w:rPr>
                <w:b/>
                <w:color w:val="000000"/>
                <w:sz w:val="20"/>
              </w:rPr>
              <w:t>Hijau (&gt;80%) &amp; Kuning (50%-80%)</w:t>
            </w:r>
          </w:p>
        </w:tc>
        <w:tc>
          <w:tcPr>
            <w:tcW w:w="992" w:type="dxa"/>
            <w:gridSpan w:val="2"/>
            <w:tcBorders>
              <w:top w:val="single" w:sz="4" w:space="0" w:color="auto"/>
              <w:left w:val="nil"/>
              <w:bottom w:val="single" w:sz="4" w:space="0" w:color="auto"/>
              <w:right w:val="nil"/>
            </w:tcBorders>
            <w:shd w:val="clear" w:color="auto" w:fill="auto"/>
            <w:noWrap/>
            <w:vAlign w:val="center"/>
            <w:hideMark/>
          </w:tcPr>
          <w:p w14:paraId="1E47DA0A" w14:textId="77777777" w:rsidR="008877C6" w:rsidRPr="00BC09E0" w:rsidRDefault="008877C6" w:rsidP="008877C6">
            <w:pPr>
              <w:jc w:val="center"/>
              <w:rPr>
                <w:b/>
                <w:color w:val="000000"/>
                <w:sz w:val="20"/>
              </w:rPr>
            </w:pPr>
            <w:r w:rsidRPr="00BC09E0">
              <w:rPr>
                <w:b/>
                <w:color w:val="000000"/>
                <w:sz w:val="20"/>
              </w:rPr>
              <w:t>Merah (&lt;50%)</w:t>
            </w:r>
          </w:p>
        </w:tc>
        <w:tc>
          <w:tcPr>
            <w:tcW w:w="1370" w:type="dxa"/>
            <w:gridSpan w:val="3"/>
            <w:vMerge/>
            <w:tcBorders>
              <w:top w:val="single" w:sz="4" w:space="0" w:color="auto"/>
              <w:left w:val="nil"/>
              <w:bottom w:val="single" w:sz="4" w:space="0" w:color="000000"/>
              <w:right w:val="nil"/>
            </w:tcBorders>
            <w:vAlign w:val="center"/>
            <w:hideMark/>
          </w:tcPr>
          <w:p w14:paraId="458464CF" w14:textId="77777777" w:rsidR="008877C6" w:rsidRPr="00BC09E0" w:rsidRDefault="008877C6" w:rsidP="008877C6">
            <w:pPr>
              <w:rPr>
                <w:color w:val="000000"/>
                <w:sz w:val="20"/>
              </w:rPr>
            </w:pPr>
          </w:p>
        </w:tc>
      </w:tr>
      <w:tr w:rsidR="002B42FF" w:rsidRPr="00BC09E0" w14:paraId="3099A0A2" w14:textId="77777777" w:rsidTr="002B42FF">
        <w:trPr>
          <w:gridAfter w:val="1"/>
          <w:wAfter w:w="94" w:type="dxa"/>
          <w:trHeight w:val="300"/>
          <w:jc w:val="center"/>
        </w:trPr>
        <w:tc>
          <w:tcPr>
            <w:tcW w:w="1418" w:type="dxa"/>
            <w:tcBorders>
              <w:top w:val="nil"/>
              <w:left w:val="nil"/>
              <w:bottom w:val="single" w:sz="4" w:space="0" w:color="auto"/>
              <w:right w:val="nil"/>
            </w:tcBorders>
            <w:shd w:val="clear" w:color="auto" w:fill="auto"/>
            <w:noWrap/>
            <w:vAlign w:val="bottom"/>
            <w:hideMark/>
          </w:tcPr>
          <w:p w14:paraId="6C37F44B" w14:textId="77777777" w:rsidR="008877C6" w:rsidRPr="00BC09E0" w:rsidRDefault="008877C6" w:rsidP="008877C6">
            <w:pPr>
              <w:rPr>
                <w:color w:val="000000"/>
                <w:sz w:val="20"/>
              </w:rPr>
            </w:pPr>
            <w:r w:rsidRPr="00BC09E0">
              <w:rPr>
                <w:color w:val="000000"/>
                <w:sz w:val="20"/>
              </w:rPr>
              <w:t> </w:t>
            </w:r>
          </w:p>
        </w:tc>
        <w:tc>
          <w:tcPr>
            <w:tcW w:w="1559" w:type="dxa"/>
            <w:tcBorders>
              <w:top w:val="nil"/>
              <w:left w:val="nil"/>
              <w:bottom w:val="single" w:sz="4" w:space="0" w:color="auto"/>
              <w:right w:val="nil"/>
            </w:tcBorders>
            <w:shd w:val="clear" w:color="auto" w:fill="auto"/>
            <w:noWrap/>
            <w:vAlign w:val="bottom"/>
            <w:hideMark/>
          </w:tcPr>
          <w:p w14:paraId="39A3D457" w14:textId="77777777" w:rsidR="008877C6" w:rsidRPr="00BC09E0" w:rsidRDefault="008877C6" w:rsidP="008877C6">
            <w:pPr>
              <w:rPr>
                <w:color w:val="000000"/>
                <w:sz w:val="20"/>
              </w:rPr>
            </w:pPr>
            <w:r w:rsidRPr="00BC09E0">
              <w:rPr>
                <w:color w:val="000000"/>
                <w:sz w:val="20"/>
              </w:rPr>
              <w:t> </w:t>
            </w:r>
          </w:p>
        </w:tc>
        <w:tc>
          <w:tcPr>
            <w:tcW w:w="1417" w:type="dxa"/>
            <w:tcBorders>
              <w:top w:val="nil"/>
              <w:left w:val="nil"/>
              <w:bottom w:val="single" w:sz="4" w:space="0" w:color="auto"/>
              <w:right w:val="nil"/>
            </w:tcBorders>
            <w:shd w:val="clear" w:color="auto" w:fill="auto"/>
            <w:noWrap/>
            <w:vAlign w:val="center"/>
            <w:hideMark/>
          </w:tcPr>
          <w:p w14:paraId="5D15D828" w14:textId="77777777" w:rsidR="008877C6" w:rsidRPr="00BC09E0" w:rsidRDefault="008877C6" w:rsidP="008877C6">
            <w:pPr>
              <w:jc w:val="center"/>
              <w:rPr>
                <w:color w:val="000000"/>
                <w:sz w:val="20"/>
              </w:rPr>
            </w:pPr>
            <w:r w:rsidRPr="00BC09E0">
              <w:rPr>
                <w:color w:val="000000"/>
                <w:sz w:val="20"/>
              </w:rPr>
              <w:t>n</w:t>
            </w:r>
          </w:p>
        </w:tc>
        <w:tc>
          <w:tcPr>
            <w:tcW w:w="567" w:type="dxa"/>
            <w:tcBorders>
              <w:top w:val="nil"/>
              <w:left w:val="nil"/>
              <w:bottom w:val="single" w:sz="4" w:space="0" w:color="auto"/>
              <w:right w:val="nil"/>
            </w:tcBorders>
            <w:shd w:val="clear" w:color="auto" w:fill="auto"/>
            <w:noWrap/>
            <w:vAlign w:val="center"/>
            <w:hideMark/>
          </w:tcPr>
          <w:p w14:paraId="2A126C78" w14:textId="77777777" w:rsidR="008877C6" w:rsidRPr="00BC09E0" w:rsidRDefault="008877C6" w:rsidP="008877C6">
            <w:pPr>
              <w:jc w:val="center"/>
              <w:rPr>
                <w:color w:val="000000"/>
                <w:sz w:val="20"/>
              </w:rPr>
            </w:pPr>
            <w:r w:rsidRPr="00BC09E0">
              <w:rPr>
                <w:color w:val="000000"/>
                <w:sz w:val="20"/>
              </w:rPr>
              <w:t>%</w:t>
            </w:r>
          </w:p>
        </w:tc>
        <w:tc>
          <w:tcPr>
            <w:tcW w:w="425" w:type="dxa"/>
            <w:tcBorders>
              <w:top w:val="nil"/>
              <w:left w:val="nil"/>
              <w:bottom w:val="single" w:sz="4" w:space="0" w:color="auto"/>
              <w:right w:val="nil"/>
            </w:tcBorders>
            <w:shd w:val="clear" w:color="auto" w:fill="auto"/>
            <w:noWrap/>
            <w:vAlign w:val="center"/>
            <w:hideMark/>
          </w:tcPr>
          <w:p w14:paraId="1FD80DB0" w14:textId="77777777" w:rsidR="008877C6" w:rsidRPr="00BC09E0" w:rsidRDefault="008877C6" w:rsidP="008877C6">
            <w:pPr>
              <w:jc w:val="center"/>
              <w:rPr>
                <w:color w:val="000000"/>
                <w:sz w:val="20"/>
              </w:rPr>
            </w:pPr>
            <w:r w:rsidRPr="00BC09E0">
              <w:rPr>
                <w:color w:val="000000"/>
                <w:sz w:val="20"/>
              </w:rPr>
              <w:t>n</w:t>
            </w:r>
          </w:p>
        </w:tc>
        <w:tc>
          <w:tcPr>
            <w:tcW w:w="660" w:type="dxa"/>
            <w:gridSpan w:val="2"/>
            <w:tcBorders>
              <w:top w:val="nil"/>
              <w:left w:val="nil"/>
              <w:bottom w:val="single" w:sz="4" w:space="0" w:color="auto"/>
              <w:right w:val="nil"/>
            </w:tcBorders>
            <w:shd w:val="clear" w:color="auto" w:fill="auto"/>
            <w:noWrap/>
            <w:vAlign w:val="center"/>
            <w:hideMark/>
          </w:tcPr>
          <w:p w14:paraId="3E91E776" w14:textId="77777777" w:rsidR="008877C6" w:rsidRPr="00BC09E0" w:rsidRDefault="008877C6" w:rsidP="008877C6">
            <w:pPr>
              <w:jc w:val="center"/>
              <w:rPr>
                <w:color w:val="000000"/>
                <w:sz w:val="20"/>
              </w:rPr>
            </w:pPr>
            <w:r w:rsidRPr="00BC09E0">
              <w:rPr>
                <w:color w:val="000000"/>
                <w:sz w:val="20"/>
              </w:rPr>
              <w:t>%</w:t>
            </w:r>
          </w:p>
        </w:tc>
        <w:tc>
          <w:tcPr>
            <w:tcW w:w="1183" w:type="dxa"/>
            <w:tcBorders>
              <w:top w:val="single" w:sz="4" w:space="0" w:color="auto"/>
              <w:left w:val="nil"/>
              <w:bottom w:val="single" w:sz="4" w:space="0" w:color="000000"/>
              <w:right w:val="nil"/>
            </w:tcBorders>
            <w:vAlign w:val="center"/>
            <w:hideMark/>
          </w:tcPr>
          <w:p w14:paraId="7E69817D" w14:textId="77777777" w:rsidR="008877C6" w:rsidRPr="00BC09E0" w:rsidRDefault="008877C6" w:rsidP="008877C6">
            <w:pPr>
              <w:rPr>
                <w:color w:val="000000"/>
                <w:sz w:val="20"/>
              </w:rPr>
            </w:pPr>
          </w:p>
        </w:tc>
      </w:tr>
      <w:tr w:rsidR="002B42FF" w:rsidRPr="00BC09E0" w14:paraId="6FFC7DC9" w14:textId="77777777" w:rsidTr="002B42FF">
        <w:trPr>
          <w:gridAfter w:val="1"/>
          <w:wAfter w:w="94" w:type="dxa"/>
          <w:trHeight w:val="300"/>
          <w:jc w:val="center"/>
        </w:trPr>
        <w:tc>
          <w:tcPr>
            <w:tcW w:w="1418" w:type="dxa"/>
            <w:vMerge w:val="restart"/>
            <w:tcBorders>
              <w:top w:val="nil"/>
              <w:left w:val="nil"/>
              <w:bottom w:val="single" w:sz="4" w:space="0" w:color="000000"/>
              <w:right w:val="nil"/>
            </w:tcBorders>
            <w:shd w:val="clear" w:color="auto" w:fill="auto"/>
            <w:noWrap/>
            <w:vAlign w:val="center"/>
            <w:hideMark/>
          </w:tcPr>
          <w:p w14:paraId="10B42306" w14:textId="77777777" w:rsidR="008877C6" w:rsidRPr="00BC09E0" w:rsidRDefault="008877C6" w:rsidP="008877C6">
            <w:pPr>
              <w:jc w:val="center"/>
              <w:rPr>
                <w:b/>
                <w:color w:val="000000"/>
                <w:sz w:val="20"/>
              </w:rPr>
            </w:pPr>
            <w:r w:rsidRPr="00BC09E0">
              <w:rPr>
                <w:b/>
                <w:color w:val="000000"/>
                <w:sz w:val="20"/>
              </w:rPr>
              <w:t>Derajat Keparahan Merokok</w:t>
            </w:r>
          </w:p>
        </w:tc>
        <w:tc>
          <w:tcPr>
            <w:tcW w:w="1559" w:type="dxa"/>
            <w:tcBorders>
              <w:top w:val="nil"/>
              <w:left w:val="nil"/>
              <w:bottom w:val="nil"/>
              <w:right w:val="nil"/>
            </w:tcBorders>
            <w:shd w:val="clear" w:color="auto" w:fill="auto"/>
            <w:noWrap/>
            <w:vAlign w:val="center"/>
            <w:hideMark/>
          </w:tcPr>
          <w:p w14:paraId="69B04B2F" w14:textId="77777777" w:rsidR="008877C6" w:rsidRPr="00BC09E0" w:rsidRDefault="008877C6" w:rsidP="008877C6">
            <w:pPr>
              <w:rPr>
                <w:color w:val="000000"/>
                <w:sz w:val="20"/>
              </w:rPr>
            </w:pPr>
            <w:r w:rsidRPr="00BC09E0">
              <w:rPr>
                <w:color w:val="000000"/>
                <w:sz w:val="20"/>
              </w:rPr>
              <w:t>Ringan (0-200) &amp; sedang (&gt;200-600)</w:t>
            </w:r>
          </w:p>
        </w:tc>
        <w:tc>
          <w:tcPr>
            <w:tcW w:w="1417" w:type="dxa"/>
            <w:tcBorders>
              <w:top w:val="nil"/>
              <w:left w:val="nil"/>
              <w:bottom w:val="nil"/>
              <w:right w:val="nil"/>
            </w:tcBorders>
            <w:shd w:val="clear" w:color="auto" w:fill="auto"/>
            <w:noWrap/>
            <w:vAlign w:val="center"/>
            <w:hideMark/>
          </w:tcPr>
          <w:p w14:paraId="2B413825" w14:textId="77777777" w:rsidR="008877C6" w:rsidRPr="00BC09E0" w:rsidRDefault="008877C6" w:rsidP="008877C6">
            <w:pPr>
              <w:jc w:val="center"/>
              <w:rPr>
                <w:color w:val="000000"/>
                <w:sz w:val="20"/>
              </w:rPr>
            </w:pPr>
            <w:r w:rsidRPr="00BC09E0">
              <w:rPr>
                <w:color w:val="000000"/>
                <w:sz w:val="20"/>
              </w:rPr>
              <w:t>29</w:t>
            </w:r>
          </w:p>
        </w:tc>
        <w:tc>
          <w:tcPr>
            <w:tcW w:w="567" w:type="dxa"/>
            <w:tcBorders>
              <w:top w:val="nil"/>
              <w:left w:val="nil"/>
              <w:bottom w:val="nil"/>
              <w:right w:val="nil"/>
            </w:tcBorders>
            <w:shd w:val="clear" w:color="auto" w:fill="auto"/>
            <w:noWrap/>
            <w:vAlign w:val="center"/>
            <w:hideMark/>
          </w:tcPr>
          <w:p w14:paraId="0013B6C4" w14:textId="77777777" w:rsidR="008877C6" w:rsidRPr="00BC09E0" w:rsidRDefault="008877C6" w:rsidP="008877C6">
            <w:pPr>
              <w:jc w:val="center"/>
              <w:rPr>
                <w:color w:val="000000"/>
                <w:sz w:val="20"/>
              </w:rPr>
            </w:pPr>
            <w:r w:rsidRPr="00BC09E0">
              <w:rPr>
                <w:color w:val="000000"/>
                <w:sz w:val="20"/>
              </w:rPr>
              <w:t>72.5</w:t>
            </w:r>
          </w:p>
        </w:tc>
        <w:tc>
          <w:tcPr>
            <w:tcW w:w="425" w:type="dxa"/>
            <w:tcBorders>
              <w:top w:val="nil"/>
              <w:left w:val="nil"/>
              <w:bottom w:val="nil"/>
              <w:right w:val="nil"/>
            </w:tcBorders>
            <w:shd w:val="clear" w:color="auto" w:fill="auto"/>
            <w:noWrap/>
            <w:vAlign w:val="center"/>
            <w:hideMark/>
          </w:tcPr>
          <w:p w14:paraId="0F573015" w14:textId="77777777" w:rsidR="008877C6" w:rsidRPr="00BC09E0" w:rsidRDefault="008877C6" w:rsidP="008877C6">
            <w:pPr>
              <w:jc w:val="center"/>
              <w:rPr>
                <w:color w:val="000000"/>
                <w:sz w:val="20"/>
              </w:rPr>
            </w:pPr>
            <w:r w:rsidRPr="00BC09E0">
              <w:rPr>
                <w:color w:val="000000"/>
                <w:sz w:val="20"/>
              </w:rPr>
              <w:t>11</w:t>
            </w:r>
          </w:p>
        </w:tc>
        <w:tc>
          <w:tcPr>
            <w:tcW w:w="660" w:type="dxa"/>
            <w:gridSpan w:val="2"/>
            <w:tcBorders>
              <w:top w:val="nil"/>
              <w:left w:val="nil"/>
              <w:bottom w:val="nil"/>
              <w:right w:val="nil"/>
            </w:tcBorders>
            <w:shd w:val="clear" w:color="auto" w:fill="auto"/>
            <w:noWrap/>
            <w:vAlign w:val="center"/>
            <w:hideMark/>
          </w:tcPr>
          <w:p w14:paraId="1EDC55EC" w14:textId="77777777" w:rsidR="008877C6" w:rsidRPr="00BC09E0" w:rsidRDefault="008877C6" w:rsidP="008877C6">
            <w:pPr>
              <w:jc w:val="center"/>
              <w:rPr>
                <w:color w:val="000000"/>
                <w:sz w:val="20"/>
              </w:rPr>
            </w:pPr>
            <w:r w:rsidRPr="00BC09E0">
              <w:rPr>
                <w:color w:val="000000"/>
                <w:sz w:val="20"/>
              </w:rPr>
              <w:t>27.5</w:t>
            </w:r>
          </w:p>
        </w:tc>
        <w:tc>
          <w:tcPr>
            <w:tcW w:w="1183" w:type="dxa"/>
            <w:vMerge w:val="restart"/>
            <w:tcBorders>
              <w:top w:val="nil"/>
              <w:left w:val="nil"/>
              <w:bottom w:val="nil"/>
              <w:right w:val="nil"/>
            </w:tcBorders>
            <w:shd w:val="clear" w:color="auto" w:fill="auto"/>
            <w:noWrap/>
            <w:vAlign w:val="center"/>
            <w:hideMark/>
          </w:tcPr>
          <w:p w14:paraId="05D8FA06" w14:textId="77777777" w:rsidR="008877C6" w:rsidRPr="00BC09E0" w:rsidRDefault="008877C6" w:rsidP="008877C6">
            <w:pPr>
              <w:jc w:val="center"/>
              <w:rPr>
                <w:b/>
                <w:color w:val="000000"/>
                <w:sz w:val="20"/>
              </w:rPr>
            </w:pPr>
            <w:r w:rsidRPr="00BC09E0">
              <w:rPr>
                <w:b/>
                <w:color w:val="000000"/>
                <w:sz w:val="20"/>
              </w:rPr>
              <w:t>0.036</w:t>
            </w:r>
          </w:p>
        </w:tc>
      </w:tr>
      <w:tr w:rsidR="002B42FF" w:rsidRPr="00BC09E0" w14:paraId="34677319" w14:textId="77777777" w:rsidTr="002B42FF">
        <w:trPr>
          <w:gridAfter w:val="1"/>
          <w:wAfter w:w="94" w:type="dxa"/>
          <w:trHeight w:val="404"/>
          <w:jc w:val="center"/>
        </w:trPr>
        <w:tc>
          <w:tcPr>
            <w:tcW w:w="1418" w:type="dxa"/>
            <w:vMerge/>
            <w:tcBorders>
              <w:top w:val="nil"/>
              <w:left w:val="nil"/>
              <w:bottom w:val="single" w:sz="4" w:space="0" w:color="000000"/>
              <w:right w:val="nil"/>
            </w:tcBorders>
            <w:vAlign w:val="center"/>
            <w:hideMark/>
          </w:tcPr>
          <w:p w14:paraId="44727E68" w14:textId="77777777" w:rsidR="008877C6" w:rsidRPr="00BC09E0" w:rsidRDefault="008877C6" w:rsidP="008877C6">
            <w:pPr>
              <w:rPr>
                <w:color w:val="000000"/>
                <w:sz w:val="20"/>
              </w:rPr>
            </w:pPr>
          </w:p>
        </w:tc>
        <w:tc>
          <w:tcPr>
            <w:tcW w:w="1559" w:type="dxa"/>
            <w:tcBorders>
              <w:top w:val="nil"/>
              <w:left w:val="nil"/>
              <w:bottom w:val="nil"/>
              <w:right w:val="nil"/>
            </w:tcBorders>
            <w:shd w:val="clear" w:color="auto" w:fill="auto"/>
            <w:noWrap/>
            <w:vAlign w:val="center"/>
            <w:hideMark/>
          </w:tcPr>
          <w:p w14:paraId="77683551" w14:textId="77777777" w:rsidR="008877C6" w:rsidRPr="00BC09E0" w:rsidRDefault="008877C6" w:rsidP="008877C6">
            <w:pPr>
              <w:rPr>
                <w:color w:val="000000"/>
                <w:sz w:val="20"/>
              </w:rPr>
            </w:pPr>
            <w:r w:rsidRPr="00BC09E0">
              <w:rPr>
                <w:color w:val="000000"/>
                <w:sz w:val="20"/>
              </w:rPr>
              <w:t>Berat (&gt;600)</w:t>
            </w:r>
          </w:p>
        </w:tc>
        <w:tc>
          <w:tcPr>
            <w:tcW w:w="1417" w:type="dxa"/>
            <w:tcBorders>
              <w:top w:val="nil"/>
              <w:left w:val="nil"/>
              <w:bottom w:val="nil"/>
              <w:right w:val="nil"/>
            </w:tcBorders>
            <w:shd w:val="clear" w:color="auto" w:fill="auto"/>
            <w:noWrap/>
            <w:vAlign w:val="center"/>
            <w:hideMark/>
          </w:tcPr>
          <w:p w14:paraId="73D266F3" w14:textId="77777777" w:rsidR="008877C6" w:rsidRPr="00BC09E0" w:rsidRDefault="008877C6" w:rsidP="008877C6">
            <w:pPr>
              <w:jc w:val="center"/>
              <w:rPr>
                <w:color w:val="000000"/>
                <w:sz w:val="20"/>
              </w:rPr>
            </w:pPr>
            <w:r w:rsidRPr="00BC09E0">
              <w:rPr>
                <w:color w:val="000000"/>
                <w:sz w:val="20"/>
              </w:rPr>
              <w:t>2</w:t>
            </w:r>
          </w:p>
        </w:tc>
        <w:tc>
          <w:tcPr>
            <w:tcW w:w="567" w:type="dxa"/>
            <w:tcBorders>
              <w:top w:val="nil"/>
              <w:left w:val="nil"/>
              <w:bottom w:val="nil"/>
              <w:right w:val="nil"/>
            </w:tcBorders>
            <w:shd w:val="clear" w:color="auto" w:fill="auto"/>
            <w:noWrap/>
            <w:vAlign w:val="center"/>
            <w:hideMark/>
          </w:tcPr>
          <w:p w14:paraId="69C4624C" w14:textId="77777777" w:rsidR="008877C6" w:rsidRPr="00BC09E0" w:rsidRDefault="008877C6" w:rsidP="008877C6">
            <w:pPr>
              <w:jc w:val="center"/>
              <w:rPr>
                <w:color w:val="000000"/>
                <w:sz w:val="20"/>
              </w:rPr>
            </w:pPr>
            <w:r w:rsidRPr="00BC09E0">
              <w:rPr>
                <w:color w:val="000000"/>
                <w:sz w:val="20"/>
              </w:rPr>
              <w:t>28.6</w:t>
            </w:r>
          </w:p>
        </w:tc>
        <w:tc>
          <w:tcPr>
            <w:tcW w:w="425" w:type="dxa"/>
            <w:tcBorders>
              <w:top w:val="nil"/>
              <w:left w:val="nil"/>
              <w:bottom w:val="nil"/>
              <w:right w:val="nil"/>
            </w:tcBorders>
            <w:shd w:val="clear" w:color="auto" w:fill="auto"/>
            <w:noWrap/>
            <w:vAlign w:val="center"/>
            <w:hideMark/>
          </w:tcPr>
          <w:p w14:paraId="2DFBFEB6" w14:textId="77777777" w:rsidR="008877C6" w:rsidRPr="00BC09E0" w:rsidRDefault="008877C6" w:rsidP="008877C6">
            <w:pPr>
              <w:jc w:val="center"/>
              <w:rPr>
                <w:color w:val="000000"/>
                <w:sz w:val="20"/>
              </w:rPr>
            </w:pPr>
            <w:r w:rsidRPr="00BC09E0">
              <w:rPr>
                <w:color w:val="000000"/>
                <w:sz w:val="20"/>
              </w:rPr>
              <w:t>5</w:t>
            </w:r>
          </w:p>
        </w:tc>
        <w:tc>
          <w:tcPr>
            <w:tcW w:w="660" w:type="dxa"/>
            <w:gridSpan w:val="2"/>
            <w:tcBorders>
              <w:top w:val="nil"/>
              <w:left w:val="nil"/>
              <w:bottom w:val="nil"/>
              <w:right w:val="nil"/>
            </w:tcBorders>
            <w:shd w:val="clear" w:color="auto" w:fill="auto"/>
            <w:noWrap/>
            <w:vAlign w:val="center"/>
            <w:hideMark/>
          </w:tcPr>
          <w:p w14:paraId="376764AF" w14:textId="77777777" w:rsidR="008877C6" w:rsidRPr="00BC09E0" w:rsidRDefault="008877C6" w:rsidP="008877C6">
            <w:pPr>
              <w:jc w:val="center"/>
              <w:rPr>
                <w:color w:val="000000"/>
                <w:sz w:val="20"/>
              </w:rPr>
            </w:pPr>
            <w:r w:rsidRPr="00BC09E0">
              <w:rPr>
                <w:color w:val="000000"/>
                <w:sz w:val="20"/>
              </w:rPr>
              <w:t>71.4</w:t>
            </w:r>
          </w:p>
        </w:tc>
        <w:tc>
          <w:tcPr>
            <w:tcW w:w="1183" w:type="dxa"/>
            <w:vMerge/>
            <w:tcBorders>
              <w:top w:val="nil"/>
              <w:left w:val="nil"/>
              <w:bottom w:val="nil"/>
              <w:right w:val="nil"/>
            </w:tcBorders>
            <w:vAlign w:val="center"/>
            <w:hideMark/>
          </w:tcPr>
          <w:p w14:paraId="148E5BE1" w14:textId="77777777" w:rsidR="008877C6" w:rsidRPr="00BC09E0" w:rsidRDefault="008877C6" w:rsidP="008877C6">
            <w:pPr>
              <w:rPr>
                <w:color w:val="000000"/>
                <w:sz w:val="20"/>
              </w:rPr>
            </w:pPr>
          </w:p>
        </w:tc>
      </w:tr>
      <w:tr w:rsidR="002B42FF" w:rsidRPr="00BC09E0" w14:paraId="5EAF4808" w14:textId="77777777" w:rsidTr="002B42FF">
        <w:trPr>
          <w:gridAfter w:val="1"/>
          <w:wAfter w:w="94" w:type="dxa"/>
          <w:trHeight w:val="368"/>
          <w:jc w:val="center"/>
        </w:trPr>
        <w:tc>
          <w:tcPr>
            <w:tcW w:w="1418" w:type="dxa"/>
            <w:tcBorders>
              <w:top w:val="nil"/>
              <w:left w:val="nil"/>
              <w:bottom w:val="single" w:sz="4" w:space="0" w:color="auto"/>
              <w:right w:val="nil"/>
            </w:tcBorders>
            <w:shd w:val="clear" w:color="auto" w:fill="auto"/>
            <w:noWrap/>
            <w:vAlign w:val="center"/>
            <w:hideMark/>
          </w:tcPr>
          <w:p w14:paraId="7FB74DEF" w14:textId="77777777" w:rsidR="008877C6" w:rsidRPr="00BC09E0" w:rsidRDefault="008877C6" w:rsidP="008877C6">
            <w:pPr>
              <w:jc w:val="center"/>
              <w:rPr>
                <w:color w:val="000000"/>
                <w:sz w:val="20"/>
              </w:rPr>
            </w:pPr>
            <w:r w:rsidRPr="00BC09E0">
              <w:rPr>
                <w:color w:val="000000"/>
                <w:sz w:val="20"/>
              </w:rPr>
              <w:t> </w:t>
            </w:r>
          </w:p>
        </w:tc>
        <w:tc>
          <w:tcPr>
            <w:tcW w:w="1559" w:type="dxa"/>
            <w:tcBorders>
              <w:top w:val="single" w:sz="4" w:space="0" w:color="auto"/>
              <w:left w:val="nil"/>
              <w:bottom w:val="single" w:sz="4" w:space="0" w:color="auto"/>
              <w:right w:val="nil"/>
            </w:tcBorders>
            <w:shd w:val="clear" w:color="auto" w:fill="auto"/>
            <w:noWrap/>
            <w:vAlign w:val="center"/>
            <w:hideMark/>
          </w:tcPr>
          <w:p w14:paraId="3635D172" w14:textId="77777777" w:rsidR="008877C6" w:rsidRPr="00BC09E0" w:rsidRDefault="008877C6" w:rsidP="008877C6">
            <w:pPr>
              <w:rPr>
                <w:b/>
                <w:color w:val="000000"/>
                <w:sz w:val="20"/>
              </w:rPr>
            </w:pPr>
            <w:r w:rsidRPr="00BC09E0">
              <w:rPr>
                <w:b/>
                <w:color w:val="000000"/>
                <w:sz w:val="20"/>
              </w:rPr>
              <w:t>Total</w:t>
            </w:r>
          </w:p>
        </w:tc>
        <w:tc>
          <w:tcPr>
            <w:tcW w:w="1417" w:type="dxa"/>
            <w:tcBorders>
              <w:top w:val="single" w:sz="4" w:space="0" w:color="auto"/>
              <w:left w:val="nil"/>
              <w:bottom w:val="single" w:sz="4" w:space="0" w:color="auto"/>
              <w:right w:val="nil"/>
            </w:tcBorders>
            <w:shd w:val="clear" w:color="auto" w:fill="auto"/>
            <w:noWrap/>
            <w:vAlign w:val="center"/>
            <w:hideMark/>
          </w:tcPr>
          <w:p w14:paraId="49B0D390" w14:textId="77777777" w:rsidR="008877C6" w:rsidRPr="00BC09E0" w:rsidRDefault="008877C6" w:rsidP="008877C6">
            <w:pPr>
              <w:jc w:val="center"/>
              <w:rPr>
                <w:b/>
                <w:color w:val="000000"/>
                <w:sz w:val="20"/>
              </w:rPr>
            </w:pPr>
            <w:r w:rsidRPr="00BC09E0">
              <w:rPr>
                <w:b/>
                <w:color w:val="000000"/>
                <w:sz w:val="20"/>
              </w:rPr>
              <w:t>31</w:t>
            </w:r>
          </w:p>
        </w:tc>
        <w:tc>
          <w:tcPr>
            <w:tcW w:w="567" w:type="dxa"/>
            <w:tcBorders>
              <w:top w:val="single" w:sz="4" w:space="0" w:color="auto"/>
              <w:left w:val="nil"/>
              <w:bottom w:val="single" w:sz="4" w:space="0" w:color="auto"/>
              <w:right w:val="nil"/>
            </w:tcBorders>
            <w:shd w:val="clear" w:color="auto" w:fill="auto"/>
            <w:noWrap/>
            <w:vAlign w:val="center"/>
            <w:hideMark/>
          </w:tcPr>
          <w:p w14:paraId="1FB10A4A" w14:textId="77777777" w:rsidR="008877C6" w:rsidRPr="00BC09E0" w:rsidRDefault="008877C6" w:rsidP="008877C6">
            <w:pPr>
              <w:jc w:val="center"/>
              <w:rPr>
                <w:b/>
                <w:color w:val="000000"/>
                <w:sz w:val="20"/>
              </w:rPr>
            </w:pPr>
            <w:r w:rsidRPr="00BC09E0">
              <w:rPr>
                <w:b/>
                <w:color w:val="000000"/>
                <w:sz w:val="20"/>
              </w:rPr>
              <w:t>66.0</w:t>
            </w:r>
          </w:p>
        </w:tc>
        <w:tc>
          <w:tcPr>
            <w:tcW w:w="425" w:type="dxa"/>
            <w:tcBorders>
              <w:top w:val="single" w:sz="4" w:space="0" w:color="auto"/>
              <w:left w:val="nil"/>
              <w:bottom w:val="single" w:sz="4" w:space="0" w:color="auto"/>
              <w:right w:val="nil"/>
            </w:tcBorders>
            <w:shd w:val="clear" w:color="auto" w:fill="auto"/>
            <w:noWrap/>
            <w:vAlign w:val="center"/>
            <w:hideMark/>
          </w:tcPr>
          <w:p w14:paraId="65E47D97" w14:textId="77777777" w:rsidR="008877C6" w:rsidRPr="00BC09E0" w:rsidRDefault="008877C6" w:rsidP="008877C6">
            <w:pPr>
              <w:jc w:val="center"/>
              <w:rPr>
                <w:b/>
                <w:color w:val="000000"/>
                <w:sz w:val="20"/>
              </w:rPr>
            </w:pPr>
            <w:r w:rsidRPr="00BC09E0">
              <w:rPr>
                <w:b/>
                <w:color w:val="000000"/>
                <w:sz w:val="20"/>
              </w:rPr>
              <w:t>16</w:t>
            </w:r>
          </w:p>
        </w:tc>
        <w:tc>
          <w:tcPr>
            <w:tcW w:w="660" w:type="dxa"/>
            <w:gridSpan w:val="2"/>
            <w:tcBorders>
              <w:top w:val="single" w:sz="4" w:space="0" w:color="auto"/>
              <w:left w:val="nil"/>
              <w:bottom w:val="single" w:sz="4" w:space="0" w:color="auto"/>
              <w:right w:val="nil"/>
            </w:tcBorders>
            <w:shd w:val="clear" w:color="auto" w:fill="auto"/>
            <w:noWrap/>
            <w:vAlign w:val="center"/>
            <w:hideMark/>
          </w:tcPr>
          <w:p w14:paraId="09B2F95A" w14:textId="77777777" w:rsidR="008877C6" w:rsidRPr="00BC09E0" w:rsidRDefault="008877C6" w:rsidP="008877C6">
            <w:pPr>
              <w:jc w:val="center"/>
              <w:rPr>
                <w:b/>
                <w:color w:val="000000"/>
                <w:sz w:val="20"/>
              </w:rPr>
            </w:pPr>
            <w:r w:rsidRPr="00BC09E0">
              <w:rPr>
                <w:b/>
                <w:color w:val="000000"/>
                <w:sz w:val="20"/>
              </w:rPr>
              <w:t>34.0</w:t>
            </w:r>
          </w:p>
        </w:tc>
        <w:tc>
          <w:tcPr>
            <w:tcW w:w="1183" w:type="dxa"/>
            <w:tcBorders>
              <w:top w:val="single" w:sz="4" w:space="0" w:color="auto"/>
              <w:left w:val="nil"/>
              <w:bottom w:val="single" w:sz="4" w:space="0" w:color="auto"/>
              <w:right w:val="nil"/>
            </w:tcBorders>
            <w:shd w:val="clear" w:color="auto" w:fill="auto"/>
            <w:noWrap/>
            <w:vAlign w:val="center"/>
            <w:hideMark/>
          </w:tcPr>
          <w:p w14:paraId="3214AFF6" w14:textId="77777777" w:rsidR="008877C6" w:rsidRPr="00BC09E0" w:rsidRDefault="008877C6" w:rsidP="008877C6">
            <w:pPr>
              <w:jc w:val="center"/>
              <w:rPr>
                <w:color w:val="000000"/>
                <w:sz w:val="20"/>
              </w:rPr>
            </w:pPr>
            <w:r w:rsidRPr="00BC09E0">
              <w:rPr>
                <w:color w:val="000000"/>
                <w:sz w:val="20"/>
              </w:rPr>
              <w:t> </w:t>
            </w:r>
          </w:p>
        </w:tc>
      </w:tr>
    </w:tbl>
    <w:p w14:paraId="056B48AE" w14:textId="77777777" w:rsidR="008877C6" w:rsidRDefault="008877C6" w:rsidP="002B42FF">
      <w:pPr>
        <w:ind w:left="851"/>
        <w:rPr>
          <w:sz w:val="20"/>
          <w:lang w:val="en-US"/>
        </w:rPr>
      </w:pPr>
      <w:r w:rsidRPr="00BC09E0">
        <w:rPr>
          <w:rFonts w:eastAsia="MS Mincho"/>
          <w:sz w:val="20"/>
        </w:rPr>
        <w:t xml:space="preserve">OR= 6.591 (95% </w:t>
      </w:r>
      <w:r w:rsidRPr="00BC09E0">
        <w:rPr>
          <w:rFonts w:eastAsia="MS Mincho"/>
          <w:i/>
          <w:sz w:val="20"/>
        </w:rPr>
        <w:t>Confidence Interval</w:t>
      </w:r>
      <w:r w:rsidRPr="00BC09E0">
        <w:rPr>
          <w:rFonts w:eastAsia="MS Mincho"/>
          <w:sz w:val="20"/>
        </w:rPr>
        <w:t>= 1.111 – 39.108</w:t>
      </w:r>
      <w:proofErr w:type="gramStart"/>
      <w:r w:rsidRPr="00BC09E0">
        <w:rPr>
          <w:rFonts w:eastAsia="MS Mincho"/>
          <w:sz w:val="20"/>
        </w:rPr>
        <w:t>)</w:t>
      </w:r>
      <w:proofErr w:type="gramEnd"/>
      <w:r>
        <w:rPr>
          <w:rFonts w:eastAsia="MS Mincho"/>
          <w:sz w:val="20"/>
        </w:rPr>
        <w:br/>
      </w:r>
      <w:r w:rsidRPr="00085854">
        <w:rPr>
          <w:sz w:val="20"/>
          <w:lang w:val="en-US"/>
        </w:rPr>
        <w:t xml:space="preserve">Sumber : Data Primer, 2019 </w:t>
      </w:r>
    </w:p>
    <w:p w14:paraId="7FCFF2A8" w14:textId="77777777" w:rsidR="008877C6" w:rsidRDefault="008877C6" w:rsidP="002B42FF">
      <w:pPr>
        <w:ind w:left="851" w:hanging="1134"/>
        <w:rPr>
          <w:rFonts w:eastAsia="MS Mincho"/>
          <w:sz w:val="20"/>
        </w:rPr>
      </w:pPr>
    </w:p>
    <w:p w14:paraId="679D00C1" w14:textId="77777777" w:rsidR="008877C6" w:rsidRPr="00A72F7D" w:rsidRDefault="008877C6" w:rsidP="008877C6">
      <w:pPr>
        <w:rPr>
          <w:rFonts w:eastAsia="MS Mincho"/>
          <w:sz w:val="20"/>
        </w:rPr>
      </w:pPr>
      <w:r>
        <w:rPr>
          <w:rFonts w:eastAsia="MS Mincho"/>
          <w:szCs w:val="24"/>
          <w:lang w:val="fr-FR"/>
        </w:rPr>
        <w:t>Hal ini bisa dikaitkan dengan dugaan bahwa r</w:t>
      </w:r>
      <w:r w:rsidRPr="007A7645">
        <w:rPr>
          <w:rFonts w:eastAsia="MS Mincho"/>
          <w:szCs w:val="24"/>
          <w:lang w:val="fr-FR"/>
        </w:rPr>
        <w:t>ok</w:t>
      </w:r>
      <w:r>
        <w:rPr>
          <w:rFonts w:eastAsia="MS Mincho"/>
          <w:szCs w:val="24"/>
          <w:lang w:val="fr-FR"/>
        </w:rPr>
        <w:t xml:space="preserve">ok menyebabkan terpicunya suatu respon inflamasi </w:t>
      </w:r>
      <w:r w:rsidRPr="007A7645">
        <w:rPr>
          <w:rFonts w:eastAsia="MS Mincho"/>
          <w:szCs w:val="24"/>
          <w:lang w:val="fr-FR"/>
        </w:rPr>
        <w:t>yang diduga dipicu oleh zat nikotin dan irita</w:t>
      </w:r>
      <w:r>
        <w:rPr>
          <w:rFonts w:eastAsia="MS Mincho"/>
          <w:szCs w:val="24"/>
          <w:lang w:val="fr-FR"/>
        </w:rPr>
        <w:t xml:space="preserve">n acrolein yang terkandung pada </w:t>
      </w:r>
      <w:r w:rsidRPr="007A7645">
        <w:rPr>
          <w:rFonts w:eastAsia="MS Mincho"/>
          <w:szCs w:val="24"/>
          <w:lang w:val="fr-FR"/>
        </w:rPr>
        <w:t>rokok sehingga menyebabkan terbentuknya fibrosis pada saluran napas kecil, metaplasia sel goblet,</w:t>
      </w:r>
      <w:r>
        <w:rPr>
          <w:rFonts w:eastAsia="MS Mincho"/>
          <w:szCs w:val="24"/>
          <w:lang w:val="fr-FR"/>
        </w:rPr>
        <w:t xml:space="preserve"> dan hipertrofi otot polos yang </w:t>
      </w:r>
      <w:r w:rsidRPr="007A7645">
        <w:rPr>
          <w:rFonts w:eastAsia="MS Mincho"/>
          <w:szCs w:val="24"/>
          <w:lang w:val="fr-FR"/>
        </w:rPr>
        <w:t>merupakan penyebab utama terjadinya obstruksi jalan napas yang bila terus berlanjut dapat mempengaruhi nilai APE</w:t>
      </w:r>
      <w:proofErr w:type="gramStart"/>
      <w:r w:rsidRPr="007A7645">
        <w:rPr>
          <w:rFonts w:eastAsia="MS Mincho"/>
          <w:szCs w:val="24"/>
          <w:lang w:val="fr-FR"/>
        </w:rPr>
        <w:t>.</w:t>
      </w:r>
      <w:r w:rsidR="00011F0B" w:rsidRPr="002B42FF">
        <w:rPr>
          <w:rFonts w:eastAsia="MS Mincho"/>
          <w:szCs w:val="24"/>
          <w:vertAlign w:val="superscript"/>
          <w:lang w:val="fr-FR"/>
        </w:rPr>
        <w:t>[</w:t>
      </w:r>
      <w:proofErr w:type="gramEnd"/>
      <w:r w:rsidR="00011F0B" w:rsidRPr="002B42FF">
        <w:rPr>
          <w:rFonts w:eastAsia="MS Mincho"/>
          <w:szCs w:val="24"/>
          <w:vertAlign w:val="superscript"/>
          <w:lang w:val="fr-FR"/>
        </w:rPr>
        <w:t>14]</w:t>
      </w:r>
    </w:p>
    <w:p w14:paraId="0D32D158" w14:textId="77777777" w:rsidR="0011435D" w:rsidRPr="00CB3D2F" w:rsidRDefault="008877C6" w:rsidP="0011435D">
      <w:pPr>
        <w:pStyle w:val="Subsubsection"/>
        <w:spacing w:after="120"/>
        <w:ind w:left="0"/>
        <w:jc w:val="both"/>
        <w:rPr>
          <w:i w:val="0"/>
          <w:lang w:val="id-ID"/>
        </w:rPr>
      </w:pPr>
      <w:r>
        <w:rPr>
          <w:lang w:val="id-ID"/>
        </w:rPr>
        <w:t>Frekuensi Indeks Massa Tubuh terhadap APE</w:t>
      </w:r>
      <w:r w:rsidR="002415E0">
        <w:t>.</w:t>
      </w:r>
      <w:r w:rsidR="002415E0">
        <w:rPr>
          <w:lang w:val="id-ID"/>
        </w:rPr>
        <w:t xml:space="preserve"> </w:t>
      </w:r>
      <w:r w:rsidR="0011435D" w:rsidRPr="0011435D">
        <w:rPr>
          <w:i w:val="0"/>
          <w:lang w:val="id-ID"/>
        </w:rPr>
        <w:t>B</w:t>
      </w:r>
      <w:r>
        <w:rPr>
          <w:i w:val="0"/>
          <w:lang w:val="id-ID"/>
        </w:rPr>
        <w:t>erdasarkan Tabel 5</w:t>
      </w:r>
      <w:r w:rsidR="00CB3D2F" w:rsidRPr="00CB3D2F">
        <w:rPr>
          <w:rFonts w:eastAsia="MS Mincho"/>
          <w:i w:val="0"/>
          <w:szCs w:val="24"/>
          <w:lang w:val="fr-FR"/>
        </w:rPr>
        <w:t>, pekerja satpam yang mempunyai IMT normal dengan hasil pengukuran APE hijau dan kuning sebanyak 23 orang (65.7%) lebih banyak dibandingkan pekerja satpam yang mempunyai IMT tidak normal dengan hasil pengukuran APE hijau dan kuning sebanyak 8 orang (66.7%) dan pekerja satpam yang mempunyai IMT normal dengan hasil pengukuran APE merah sebanyak 12 orang (34.3%) lebih banyak dibandingkan pekerja satpam yang mempunyai IMT tidak normal dengan hasil pengukuran APE merah sebanyak 4 orang (33.3%). Berdasarkan hasil uji Chi-square diperoleh p value sebesar 0.621 &lt; 0.05 artinya tidak terdapat pengaruh yang bermakna antara IMT terhadap nilai APE.</w:t>
      </w:r>
    </w:p>
    <w:p w14:paraId="7195DFA7" w14:textId="77777777" w:rsidR="00CB3D2F" w:rsidRDefault="00CB3D2F" w:rsidP="0011435D">
      <w:pPr>
        <w:pStyle w:val="Section"/>
        <w:numPr>
          <w:ilvl w:val="0"/>
          <w:numId w:val="0"/>
        </w:numPr>
        <w:spacing w:before="0" w:after="120"/>
        <w:ind w:left="1134" w:right="1133"/>
      </w:pPr>
    </w:p>
    <w:p w14:paraId="1DB1FCD6" w14:textId="77777777" w:rsidR="0011435D" w:rsidRDefault="0011435D" w:rsidP="00CB3D2F">
      <w:pPr>
        <w:pStyle w:val="Section"/>
        <w:numPr>
          <w:ilvl w:val="0"/>
          <w:numId w:val="0"/>
        </w:numPr>
        <w:spacing w:before="0" w:after="120"/>
        <w:ind w:left="1134" w:right="1133"/>
        <w:jc w:val="center"/>
        <w:rPr>
          <w:b w:val="0"/>
          <w:lang w:val="id-ID"/>
        </w:rPr>
      </w:pPr>
      <w:r>
        <w:t xml:space="preserve">Tabel </w:t>
      </w:r>
      <w:r w:rsidR="00CB3D2F">
        <w:rPr>
          <w:lang w:val="id-ID"/>
        </w:rPr>
        <w:t>5</w:t>
      </w:r>
      <w:r w:rsidRPr="00CE57CF">
        <w:t xml:space="preserve">. </w:t>
      </w:r>
      <w:r w:rsidR="00CB3D2F">
        <w:rPr>
          <w:b w:val="0"/>
          <w:lang w:val="id-ID"/>
        </w:rPr>
        <w:t>Frekuensi Indeks Massa Tubuh terhadap APE</w:t>
      </w:r>
      <w:r w:rsidR="00224318">
        <w:rPr>
          <w:b w:val="0"/>
          <w:lang w:val="id-ID"/>
        </w:rPr>
        <w:t>.</w:t>
      </w:r>
    </w:p>
    <w:tbl>
      <w:tblPr>
        <w:tblW w:w="7087" w:type="dxa"/>
        <w:jc w:val="center"/>
        <w:tblLayout w:type="fixed"/>
        <w:tblLook w:val="04A0" w:firstRow="1" w:lastRow="0" w:firstColumn="1" w:lastColumn="0" w:noHBand="0" w:noVBand="1"/>
      </w:tblPr>
      <w:tblGrid>
        <w:gridCol w:w="1101"/>
        <w:gridCol w:w="1417"/>
        <w:gridCol w:w="1855"/>
        <w:gridCol w:w="567"/>
        <w:gridCol w:w="425"/>
        <w:gridCol w:w="567"/>
        <w:gridCol w:w="1155"/>
      </w:tblGrid>
      <w:tr w:rsidR="002B42FF" w:rsidRPr="00BC09E0" w14:paraId="40203A1A" w14:textId="77777777" w:rsidTr="002B42FF">
        <w:trPr>
          <w:trHeight w:val="300"/>
          <w:jc w:val="center"/>
        </w:trPr>
        <w:tc>
          <w:tcPr>
            <w:tcW w:w="1101" w:type="dxa"/>
            <w:tcBorders>
              <w:top w:val="single" w:sz="4" w:space="0" w:color="auto"/>
              <w:left w:val="nil"/>
              <w:bottom w:val="nil"/>
              <w:right w:val="nil"/>
            </w:tcBorders>
            <w:shd w:val="clear" w:color="auto" w:fill="auto"/>
            <w:noWrap/>
            <w:vAlign w:val="bottom"/>
            <w:hideMark/>
          </w:tcPr>
          <w:p w14:paraId="503D5843" w14:textId="77777777" w:rsidR="00CB3D2F" w:rsidRPr="00BC09E0" w:rsidRDefault="00CB3D2F" w:rsidP="00011F0B">
            <w:pPr>
              <w:rPr>
                <w:color w:val="000000"/>
                <w:sz w:val="20"/>
              </w:rPr>
            </w:pPr>
            <w:r w:rsidRPr="00BC09E0">
              <w:rPr>
                <w:color w:val="000000"/>
                <w:sz w:val="20"/>
              </w:rPr>
              <w:t> </w:t>
            </w:r>
          </w:p>
        </w:tc>
        <w:tc>
          <w:tcPr>
            <w:tcW w:w="1417" w:type="dxa"/>
            <w:tcBorders>
              <w:top w:val="single" w:sz="4" w:space="0" w:color="auto"/>
              <w:left w:val="nil"/>
              <w:bottom w:val="nil"/>
              <w:right w:val="nil"/>
            </w:tcBorders>
            <w:shd w:val="clear" w:color="auto" w:fill="auto"/>
            <w:noWrap/>
            <w:vAlign w:val="center"/>
            <w:hideMark/>
          </w:tcPr>
          <w:p w14:paraId="5C6FD6DC" w14:textId="77777777" w:rsidR="00CB3D2F" w:rsidRPr="00BC09E0" w:rsidRDefault="00CB3D2F" w:rsidP="00011F0B">
            <w:pPr>
              <w:rPr>
                <w:color w:val="000000"/>
                <w:sz w:val="20"/>
              </w:rPr>
            </w:pPr>
            <w:r w:rsidRPr="00BC09E0">
              <w:rPr>
                <w:color w:val="000000"/>
                <w:sz w:val="20"/>
              </w:rPr>
              <w:t> </w:t>
            </w:r>
          </w:p>
        </w:tc>
        <w:tc>
          <w:tcPr>
            <w:tcW w:w="3414" w:type="dxa"/>
            <w:gridSpan w:val="4"/>
            <w:tcBorders>
              <w:top w:val="single" w:sz="4" w:space="0" w:color="auto"/>
              <w:left w:val="nil"/>
              <w:bottom w:val="nil"/>
              <w:right w:val="nil"/>
            </w:tcBorders>
            <w:shd w:val="clear" w:color="auto" w:fill="auto"/>
            <w:noWrap/>
            <w:vAlign w:val="center"/>
            <w:hideMark/>
          </w:tcPr>
          <w:p w14:paraId="49928B91" w14:textId="77777777" w:rsidR="00CB3D2F" w:rsidRPr="00BC09E0" w:rsidRDefault="00CB3D2F" w:rsidP="00011F0B">
            <w:pPr>
              <w:jc w:val="center"/>
              <w:rPr>
                <w:b/>
                <w:color w:val="000000"/>
                <w:sz w:val="20"/>
              </w:rPr>
            </w:pPr>
            <w:r w:rsidRPr="00BC09E0">
              <w:rPr>
                <w:b/>
                <w:color w:val="000000"/>
                <w:sz w:val="20"/>
              </w:rPr>
              <w:t>Arus Puncak Ekspirasi</w:t>
            </w:r>
          </w:p>
        </w:tc>
        <w:tc>
          <w:tcPr>
            <w:tcW w:w="1155" w:type="dxa"/>
            <w:vMerge w:val="restart"/>
            <w:tcBorders>
              <w:top w:val="single" w:sz="4" w:space="0" w:color="auto"/>
              <w:left w:val="nil"/>
              <w:bottom w:val="nil"/>
              <w:right w:val="nil"/>
            </w:tcBorders>
            <w:shd w:val="clear" w:color="auto" w:fill="auto"/>
            <w:noWrap/>
            <w:vAlign w:val="center"/>
            <w:hideMark/>
          </w:tcPr>
          <w:p w14:paraId="160104C2" w14:textId="77777777" w:rsidR="00CB3D2F" w:rsidRPr="00BC09E0" w:rsidRDefault="00CB3D2F" w:rsidP="00011F0B">
            <w:pPr>
              <w:ind w:right="-223"/>
              <w:jc w:val="center"/>
              <w:rPr>
                <w:b/>
                <w:color w:val="000000"/>
                <w:sz w:val="20"/>
              </w:rPr>
            </w:pPr>
            <w:r w:rsidRPr="00BC09E0">
              <w:rPr>
                <w:b/>
                <w:color w:val="000000"/>
                <w:sz w:val="20"/>
              </w:rPr>
              <w:t>Nilai P</w:t>
            </w:r>
          </w:p>
        </w:tc>
      </w:tr>
      <w:tr w:rsidR="002B42FF" w:rsidRPr="00BC09E0" w14:paraId="1FFF5141" w14:textId="77777777" w:rsidTr="002B42FF">
        <w:trPr>
          <w:trHeight w:val="300"/>
          <w:jc w:val="center"/>
        </w:trPr>
        <w:tc>
          <w:tcPr>
            <w:tcW w:w="1101" w:type="dxa"/>
            <w:tcBorders>
              <w:top w:val="nil"/>
              <w:left w:val="nil"/>
              <w:bottom w:val="nil"/>
              <w:right w:val="nil"/>
            </w:tcBorders>
            <w:shd w:val="clear" w:color="auto" w:fill="auto"/>
            <w:noWrap/>
            <w:vAlign w:val="bottom"/>
            <w:hideMark/>
          </w:tcPr>
          <w:p w14:paraId="2F61D70E" w14:textId="77777777" w:rsidR="00CB3D2F" w:rsidRPr="00BC09E0" w:rsidRDefault="00CB3D2F" w:rsidP="00011F0B">
            <w:pPr>
              <w:rPr>
                <w:color w:val="000000"/>
                <w:sz w:val="20"/>
              </w:rPr>
            </w:pPr>
          </w:p>
        </w:tc>
        <w:tc>
          <w:tcPr>
            <w:tcW w:w="1417" w:type="dxa"/>
            <w:tcBorders>
              <w:top w:val="nil"/>
              <w:left w:val="nil"/>
              <w:bottom w:val="nil"/>
              <w:right w:val="nil"/>
            </w:tcBorders>
            <w:shd w:val="clear" w:color="auto" w:fill="auto"/>
            <w:noWrap/>
            <w:vAlign w:val="bottom"/>
            <w:hideMark/>
          </w:tcPr>
          <w:p w14:paraId="5784053B" w14:textId="77777777" w:rsidR="00CB3D2F" w:rsidRPr="00BC09E0" w:rsidRDefault="00CB3D2F" w:rsidP="00011F0B">
            <w:pPr>
              <w:rPr>
                <w:color w:val="000000"/>
                <w:sz w:val="20"/>
              </w:rPr>
            </w:pPr>
          </w:p>
        </w:tc>
        <w:tc>
          <w:tcPr>
            <w:tcW w:w="2422" w:type="dxa"/>
            <w:gridSpan w:val="2"/>
            <w:tcBorders>
              <w:top w:val="single" w:sz="4" w:space="0" w:color="auto"/>
              <w:left w:val="nil"/>
              <w:bottom w:val="single" w:sz="4" w:space="0" w:color="auto"/>
              <w:right w:val="nil"/>
            </w:tcBorders>
            <w:shd w:val="clear" w:color="auto" w:fill="auto"/>
            <w:noWrap/>
            <w:vAlign w:val="center"/>
            <w:hideMark/>
          </w:tcPr>
          <w:p w14:paraId="7EC99DC5" w14:textId="77777777" w:rsidR="00CB3D2F" w:rsidRPr="00BC09E0" w:rsidRDefault="00CB3D2F" w:rsidP="00011F0B">
            <w:pPr>
              <w:jc w:val="center"/>
              <w:rPr>
                <w:b/>
                <w:color w:val="000000"/>
                <w:sz w:val="20"/>
              </w:rPr>
            </w:pPr>
            <w:r w:rsidRPr="00BC09E0">
              <w:rPr>
                <w:b/>
                <w:color w:val="000000"/>
                <w:sz w:val="20"/>
              </w:rPr>
              <w:t>Hijau (&gt;80%) &amp; Kuning (50%-80%)</w:t>
            </w:r>
          </w:p>
        </w:tc>
        <w:tc>
          <w:tcPr>
            <w:tcW w:w="992" w:type="dxa"/>
            <w:gridSpan w:val="2"/>
            <w:tcBorders>
              <w:top w:val="single" w:sz="4" w:space="0" w:color="auto"/>
              <w:left w:val="nil"/>
              <w:bottom w:val="single" w:sz="4" w:space="0" w:color="auto"/>
              <w:right w:val="nil"/>
            </w:tcBorders>
            <w:shd w:val="clear" w:color="auto" w:fill="auto"/>
            <w:noWrap/>
            <w:vAlign w:val="center"/>
            <w:hideMark/>
          </w:tcPr>
          <w:p w14:paraId="17B679A4" w14:textId="77777777" w:rsidR="00CB3D2F" w:rsidRPr="00BC09E0" w:rsidRDefault="00CB3D2F" w:rsidP="00011F0B">
            <w:pPr>
              <w:jc w:val="center"/>
              <w:rPr>
                <w:b/>
                <w:color w:val="000000"/>
                <w:sz w:val="20"/>
              </w:rPr>
            </w:pPr>
            <w:r w:rsidRPr="00BC09E0">
              <w:rPr>
                <w:b/>
                <w:color w:val="000000"/>
                <w:sz w:val="20"/>
              </w:rPr>
              <w:t>Merah (&lt;50%)</w:t>
            </w:r>
          </w:p>
        </w:tc>
        <w:tc>
          <w:tcPr>
            <w:tcW w:w="1155" w:type="dxa"/>
            <w:vMerge/>
            <w:tcBorders>
              <w:top w:val="single" w:sz="4" w:space="0" w:color="auto"/>
              <w:left w:val="nil"/>
              <w:bottom w:val="nil"/>
              <w:right w:val="nil"/>
            </w:tcBorders>
            <w:vAlign w:val="center"/>
            <w:hideMark/>
          </w:tcPr>
          <w:p w14:paraId="4E6551C8" w14:textId="77777777" w:rsidR="00CB3D2F" w:rsidRPr="00BC09E0" w:rsidRDefault="00CB3D2F" w:rsidP="00011F0B">
            <w:pPr>
              <w:rPr>
                <w:color w:val="000000"/>
                <w:sz w:val="20"/>
              </w:rPr>
            </w:pPr>
          </w:p>
        </w:tc>
      </w:tr>
      <w:tr w:rsidR="002B42FF" w:rsidRPr="00BC09E0" w14:paraId="6D4C9961" w14:textId="77777777" w:rsidTr="002B42FF">
        <w:trPr>
          <w:trHeight w:val="300"/>
          <w:jc w:val="center"/>
        </w:trPr>
        <w:tc>
          <w:tcPr>
            <w:tcW w:w="1101" w:type="dxa"/>
            <w:tcBorders>
              <w:top w:val="nil"/>
              <w:left w:val="nil"/>
              <w:bottom w:val="nil"/>
              <w:right w:val="nil"/>
            </w:tcBorders>
            <w:shd w:val="clear" w:color="auto" w:fill="auto"/>
            <w:noWrap/>
            <w:vAlign w:val="bottom"/>
            <w:hideMark/>
          </w:tcPr>
          <w:p w14:paraId="20DCFE29" w14:textId="77777777" w:rsidR="00CB3D2F" w:rsidRPr="00BC09E0" w:rsidRDefault="00CB3D2F" w:rsidP="00011F0B">
            <w:pPr>
              <w:rPr>
                <w:color w:val="000000"/>
                <w:sz w:val="20"/>
              </w:rPr>
            </w:pPr>
          </w:p>
        </w:tc>
        <w:tc>
          <w:tcPr>
            <w:tcW w:w="1417" w:type="dxa"/>
            <w:tcBorders>
              <w:top w:val="nil"/>
              <w:left w:val="nil"/>
              <w:bottom w:val="nil"/>
              <w:right w:val="nil"/>
            </w:tcBorders>
            <w:shd w:val="clear" w:color="auto" w:fill="auto"/>
            <w:noWrap/>
            <w:vAlign w:val="bottom"/>
            <w:hideMark/>
          </w:tcPr>
          <w:p w14:paraId="590F32AD" w14:textId="77777777" w:rsidR="00CB3D2F" w:rsidRPr="00BC09E0" w:rsidRDefault="00CB3D2F" w:rsidP="00011F0B">
            <w:pPr>
              <w:rPr>
                <w:color w:val="000000"/>
                <w:sz w:val="20"/>
              </w:rPr>
            </w:pPr>
          </w:p>
        </w:tc>
        <w:tc>
          <w:tcPr>
            <w:tcW w:w="1855" w:type="dxa"/>
            <w:tcBorders>
              <w:top w:val="nil"/>
              <w:left w:val="nil"/>
              <w:bottom w:val="nil"/>
              <w:right w:val="nil"/>
            </w:tcBorders>
            <w:shd w:val="clear" w:color="auto" w:fill="auto"/>
            <w:noWrap/>
            <w:vAlign w:val="center"/>
            <w:hideMark/>
          </w:tcPr>
          <w:p w14:paraId="3717F123" w14:textId="77777777" w:rsidR="00CB3D2F" w:rsidRPr="00BC09E0" w:rsidRDefault="00CB3D2F" w:rsidP="00011F0B">
            <w:pPr>
              <w:jc w:val="center"/>
              <w:rPr>
                <w:color w:val="000000"/>
                <w:sz w:val="20"/>
              </w:rPr>
            </w:pPr>
            <w:r w:rsidRPr="00BC09E0">
              <w:rPr>
                <w:color w:val="000000"/>
                <w:sz w:val="20"/>
              </w:rPr>
              <w:t>n</w:t>
            </w:r>
          </w:p>
        </w:tc>
        <w:tc>
          <w:tcPr>
            <w:tcW w:w="567" w:type="dxa"/>
            <w:tcBorders>
              <w:top w:val="nil"/>
              <w:left w:val="nil"/>
              <w:bottom w:val="nil"/>
              <w:right w:val="nil"/>
            </w:tcBorders>
            <w:shd w:val="clear" w:color="auto" w:fill="auto"/>
            <w:noWrap/>
            <w:vAlign w:val="center"/>
            <w:hideMark/>
          </w:tcPr>
          <w:p w14:paraId="2C8AA0D6" w14:textId="77777777" w:rsidR="00CB3D2F" w:rsidRPr="00BC09E0" w:rsidRDefault="00CB3D2F" w:rsidP="00011F0B">
            <w:pPr>
              <w:jc w:val="center"/>
              <w:rPr>
                <w:color w:val="000000"/>
                <w:sz w:val="20"/>
              </w:rPr>
            </w:pPr>
            <w:r w:rsidRPr="00BC09E0">
              <w:rPr>
                <w:color w:val="000000"/>
                <w:sz w:val="20"/>
              </w:rPr>
              <w:t>%</w:t>
            </w:r>
          </w:p>
        </w:tc>
        <w:tc>
          <w:tcPr>
            <w:tcW w:w="425" w:type="dxa"/>
            <w:tcBorders>
              <w:top w:val="nil"/>
              <w:left w:val="nil"/>
              <w:bottom w:val="nil"/>
              <w:right w:val="nil"/>
            </w:tcBorders>
            <w:shd w:val="clear" w:color="auto" w:fill="auto"/>
            <w:noWrap/>
            <w:vAlign w:val="center"/>
            <w:hideMark/>
          </w:tcPr>
          <w:p w14:paraId="5D48F267" w14:textId="77777777" w:rsidR="00CB3D2F" w:rsidRPr="00BC09E0" w:rsidRDefault="00CB3D2F" w:rsidP="00011F0B">
            <w:pPr>
              <w:jc w:val="center"/>
              <w:rPr>
                <w:color w:val="000000"/>
                <w:sz w:val="20"/>
              </w:rPr>
            </w:pPr>
            <w:r w:rsidRPr="00BC09E0">
              <w:rPr>
                <w:color w:val="000000"/>
                <w:sz w:val="20"/>
              </w:rPr>
              <w:t>n</w:t>
            </w:r>
          </w:p>
        </w:tc>
        <w:tc>
          <w:tcPr>
            <w:tcW w:w="567" w:type="dxa"/>
            <w:tcBorders>
              <w:top w:val="nil"/>
              <w:left w:val="nil"/>
              <w:bottom w:val="nil"/>
              <w:right w:val="nil"/>
            </w:tcBorders>
            <w:shd w:val="clear" w:color="auto" w:fill="auto"/>
            <w:noWrap/>
            <w:vAlign w:val="center"/>
            <w:hideMark/>
          </w:tcPr>
          <w:p w14:paraId="52885041" w14:textId="77777777" w:rsidR="00CB3D2F" w:rsidRPr="00BC09E0" w:rsidRDefault="00CB3D2F" w:rsidP="00011F0B">
            <w:pPr>
              <w:jc w:val="center"/>
              <w:rPr>
                <w:color w:val="000000"/>
                <w:sz w:val="20"/>
              </w:rPr>
            </w:pPr>
            <w:r w:rsidRPr="00BC09E0">
              <w:rPr>
                <w:color w:val="000000"/>
                <w:sz w:val="20"/>
              </w:rPr>
              <w:t>%</w:t>
            </w:r>
          </w:p>
        </w:tc>
        <w:tc>
          <w:tcPr>
            <w:tcW w:w="1155" w:type="dxa"/>
            <w:vMerge/>
            <w:tcBorders>
              <w:top w:val="single" w:sz="4" w:space="0" w:color="auto"/>
              <w:left w:val="nil"/>
              <w:bottom w:val="nil"/>
              <w:right w:val="nil"/>
            </w:tcBorders>
            <w:vAlign w:val="center"/>
            <w:hideMark/>
          </w:tcPr>
          <w:p w14:paraId="527BAA99" w14:textId="77777777" w:rsidR="00CB3D2F" w:rsidRPr="00BC09E0" w:rsidRDefault="00CB3D2F" w:rsidP="00011F0B">
            <w:pPr>
              <w:rPr>
                <w:color w:val="000000"/>
                <w:sz w:val="20"/>
              </w:rPr>
            </w:pPr>
          </w:p>
        </w:tc>
      </w:tr>
      <w:tr w:rsidR="002B42FF" w:rsidRPr="00BC09E0" w14:paraId="5A0C4496" w14:textId="77777777" w:rsidTr="002B42FF">
        <w:trPr>
          <w:trHeight w:val="524"/>
          <w:jc w:val="center"/>
        </w:trPr>
        <w:tc>
          <w:tcPr>
            <w:tcW w:w="1101" w:type="dxa"/>
            <w:vMerge w:val="restart"/>
            <w:tcBorders>
              <w:top w:val="single" w:sz="4" w:space="0" w:color="auto"/>
              <w:left w:val="nil"/>
              <w:bottom w:val="nil"/>
              <w:right w:val="nil"/>
            </w:tcBorders>
            <w:shd w:val="clear" w:color="auto" w:fill="auto"/>
            <w:noWrap/>
            <w:vAlign w:val="center"/>
            <w:hideMark/>
          </w:tcPr>
          <w:p w14:paraId="2EA50A5C" w14:textId="77777777" w:rsidR="00CB3D2F" w:rsidRPr="00BC09E0" w:rsidRDefault="00CB3D2F" w:rsidP="00011F0B">
            <w:pPr>
              <w:jc w:val="center"/>
              <w:rPr>
                <w:b/>
                <w:color w:val="000000"/>
                <w:sz w:val="20"/>
              </w:rPr>
            </w:pPr>
            <w:r w:rsidRPr="00BC09E0">
              <w:rPr>
                <w:b/>
                <w:color w:val="000000"/>
                <w:sz w:val="20"/>
              </w:rPr>
              <w:t>Indeks Massa Tubuh (IMT)</w:t>
            </w:r>
          </w:p>
        </w:tc>
        <w:tc>
          <w:tcPr>
            <w:tcW w:w="1417" w:type="dxa"/>
            <w:vMerge w:val="restart"/>
            <w:tcBorders>
              <w:top w:val="single" w:sz="4" w:space="0" w:color="auto"/>
              <w:left w:val="nil"/>
              <w:bottom w:val="nil"/>
              <w:right w:val="nil"/>
            </w:tcBorders>
            <w:shd w:val="clear" w:color="auto" w:fill="auto"/>
            <w:vAlign w:val="center"/>
            <w:hideMark/>
          </w:tcPr>
          <w:p w14:paraId="0C8B4976" w14:textId="77777777" w:rsidR="00CB3D2F" w:rsidRPr="00BC09E0" w:rsidRDefault="00CB3D2F" w:rsidP="00011F0B">
            <w:pPr>
              <w:rPr>
                <w:color w:val="000000"/>
                <w:sz w:val="20"/>
              </w:rPr>
            </w:pPr>
            <w:r w:rsidRPr="00BC09E0">
              <w:rPr>
                <w:color w:val="000000"/>
                <w:sz w:val="20"/>
              </w:rPr>
              <w:t>Tidak normal (</w:t>
            </w:r>
            <w:r>
              <w:rPr>
                <w:color w:val="000000"/>
                <w:sz w:val="20"/>
              </w:rPr>
              <w:t>kurang &amp; berlebih</w:t>
            </w:r>
            <w:r w:rsidRPr="00BC09E0">
              <w:rPr>
                <w:color w:val="000000"/>
                <w:sz w:val="20"/>
              </w:rPr>
              <w:t>)</w:t>
            </w:r>
          </w:p>
        </w:tc>
        <w:tc>
          <w:tcPr>
            <w:tcW w:w="1855" w:type="dxa"/>
            <w:vMerge w:val="restart"/>
            <w:tcBorders>
              <w:top w:val="single" w:sz="4" w:space="0" w:color="auto"/>
              <w:left w:val="nil"/>
              <w:bottom w:val="nil"/>
              <w:right w:val="nil"/>
            </w:tcBorders>
            <w:shd w:val="clear" w:color="auto" w:fill="auto"/>
            <w:noWrap/>
            <w:vAlign w:val="center"/>
            <w:hideMark/>
          </w:tcPr>
          <w:p w14:paraId="568DE5C5" w14:textId="77777777" w:rsidR="00CB3D2F" w:rsidRPr="00BC09E0" w:rsidRDefault="00CB3D2F" w:rsidP="00011F0B">
            <w:pPr>
              <w:jc w:val="center"/>
              <w:rPr>
                <w:color w:val="000000"/>
                <w:sz w:val="20"/>
              </w:rPr>
            </w:pPr>
            <w:r w:rsidRPr="00BC09E0">
              <w:rPr>
                <w:color w:val="000000"/>
                <w:sz w:val="20"/>
              </w:rPr>
              <w:t>8</w:t>
            </w:r>
          </w:p>
        </w:tc>
        <w:tc>
          <w:tcPr>
            <w:tcW w:w="567" w:type="dxa"/>
            <w:vMerge w:val="restart"/>
            <w:tcBorders>
              <w:top w:val="single" w:sz="4" w:space="0" w:color="auto"/>
              <w:left w:val="nil"/>
              <w:bottom w:val="nil"/>
              <w:right w:val="nil"/>
            </w:tcBorders>
            <w:shd w:val="clear" w:color="auto" w:fill="auto"/>
            <w:noWrap/>
            <w:vAlign w:val="center"/>
            <w:hideMark/>
          </w:tcPr>
          <w:p w14:paraId="1CB48F5C" w14:textId="77777777" w:rsidR="00CB3D2F" w:rsidRPr="00BC09E0" w:rsidRDefault="00CB3D2F" w:rsidP="00011F0B">
            <w:pPr>
              <w:jc w:val="center"/>
              <w:rPr>
                <w:color w:val="000000"/>
                <w:sz w:val="20"/>
              </w:rPr>
            </w:pPr>
            <w:r w:rsidRPr="00BC09E0">
              <w:rPr>
                <w:color w:val="000000"/>
                <w:sz w:val="20"/>
              </w:rPr>
              <w:t>66.7</w:t>
            </w:r>
          </w:p>
        </w:tc>
        <w:tc>
          <w:tcPr>
            <w:tcW w:w="425" w:type="dxa"/>
            <w:vMerge w:val="restart"/>
            <w:tcBorders>
              <w:top w:val="single" w:sz="4" w:space="0" w:color="auto"/>
              <w:left w:val="nil"/>
              <w:bottom w:val="nil"/>
              <w:right w:val="nil"/>
            </w:tcBorders>
            <w:shd w:val="clear" w:color="auto" w:fill="auto"/>
            <w:noWrap/>
            <w:vAlign w:val="center"/>
            <w:hideMark/>
          </w:tcPr>
          <w:p w14:paraId="55EC7943" w14:textId="77777777" w:rsidR="00CB3D2F" w:rsidRPr="00BC09E0" w:rsidRDefault="00CB3D2F" w:rsidP="00011F0B">
            <w:pPr>
              <w:jc w:val="center"/>
              <w:rPr>
                <w:color w:val="000000"/>
                <w:sz w:val="20"/>
              </w:rPr>
            </w:pPr>
            <w:r w:rsidRPr="00BC09E0">
              <w:rPr>
                <w:color w:val="000000"/>
                <w:sz w:val="20"/>
              </w:rPr>
              <w:t>4</w:t>
            </w:r>
          </w:p>
        </w:tc>
        <w:tc>
          <w:tcPr>
            <w:tcW w:w="567" w:type="dxa"/>
            <w:vMerge w:val="restart"/>
            <w:tcBorders>
              <w:top w:val="single" w:sz="4" w:space="0" w:color="auto"/>
              <w:left w:val="nil"/>
              <w:bottom w:val="nil"/>
              <w:right w:val="nil"/>
            </w:tcBorders>
            <w:shd w:val="clear" w:color="auto" w:fill="auto"/>
            <w:noWrap/>
            <w:vAlign w:val="center"/>
            <w:hideMark/>
          </w:tcPr>
          <w:p w14:paraId="6BF4EC0F" w14:textId="77777777" w:rsidR="00CB3D2F" w:rsidRPr="00BC09E0" w:rsidRDefault="00CB3D2F" w:rsidP="00011F0B">
            <w:pPr>
              <w:jc w:val="center"/>
              <w:rPr>
                <w:color w:val="000000"/>
                <w:sz w:val="20"/>
              </w:rPr>
            </w:pPr>
            <w:r w:rsidRPr="00BC09E0">
              <w:rPr>
                <w:color w:val="000000"/>
                <w:sz w:val="20"/>
              </w:rPr>
              <w:t>33.3</w:t>
            </w:r>
          </w:p>
        </w:tc>
        <w:tc>
          <w:tcPr>
            <w:tcW w:w="1155" w:type="dxa"/>
            <w:vMerge w:val="restart"/>
            <w:tcBorders>
              <w:top w:val="single" w:sz="4" w:space="0" w:color="auto"/>
              <w:left w:val="nil"/>
              <w:bottom w:val="nil"/>
              <w:right w:val="nil"/>
            </w:tcBorders>
            <w:shd w:val="clear" w:color="auto" w:fill="auto"/>
            <w:noWrap/>
            <w:vAlign w:val="center"/>
            <w:hideMark/>
          </w:tcPr>
          <w:p w14:paraId="2E10EACB" w14:textId="77777777" w:rsidR="00CB3D2F" w:rsidRPr="00BC09E0" w:rsidRDefault="00CB3D2F" w:rsidP="00011F0B">
            <w:pPr>
              <w:jc w:val="center"/>
              <w:rPr>
                <w:b/>
                <w:color w:val="000000"/>
                <w:sz w:val="20"/>
              </w:rPr>
            </w:pPr>
            <w:r w:rsidRPr="00BC09E0">
              <w:rPr>
                <w:b/>
                <w:color w:val="000000"/>
                <w:sz w:val="20"/>
              </w:rPr>
              <w:t>0.621</w:t>
            </w:r>
          </w:p>
        </w:tc>
      </w:tr>
      <w:tr w:rsidR="002B42FF" w:rsidRPr="00BC09E0" w14:paraId="2ACC71D9" w14:textId="77777777" w:rsidTr="002B42FF">
        <w:trPr>
          <w:trHeight w:val="524"/>
          <w:jc w:val="center"/>
        </w:trPr>
        <w:tc>
          <w:tcPr>
            <w:tcW w:w="1101" w:type="dxa"/>
            <w:vMerge/>
            <w:tcBorders>
              <w:top w:val="single" w:sz="4" w:space="0" w:color="auto"/>
              <w:left w:val="nil"/>
              <w:bottom w:val="nil"/>
              <w:right w:val="nil"/>
            </w:tcBorders>
            <w:vAlign w:val="center"/>
            <w:hideMark/>
          </w:tcPr>
          <w:p w14:paraId="23B01C57" w14:textId="77777777" w:rsidR="00CB3D2F" w:rsidRPr="00BC09E0" w:rsidRDefault="00CB3D2F" w:rsidP="00011F0B">
            <w:pPr>
              <w:rPr>
                <w:color w:val="000000"/>
                <w:sz w:val="20"/>
              </w:rPr>
            </w:pPr>
          </w:p>
        </w:tc>
        <w:tc>
          <w:tcPr>
            <w:tcW w:w="1417" w:type="dxa"/>
            <w:vMerge/>
            <w:tcBorders>
              <w:top w:val="single" w:sz="4" w:space="0" w:color="auto"/>
              <w:left w:val="nil"/>
              <w:bottom w:val="nil"/>
              <w:right w:val="nil"/>
            </w:tcBorders>
            <w:vAlign w:val="center"/>
            <w:hideMark/>
          </w:tcPr>
          <w:p w14:paraId="363BF406" w14:textId="77777777" w:rsidR="00CB3D2F" w:rsidRPr="00BC09E0" w:rsidRDefault="00CB3D2F" w:rsidP="00011F0B">
            <w:pPr>
              <w:rPr>
                <w:color w:val="000000"/>
                <w:sz w:val="20"/>
              </w:rPr>
            </w:pPr>
          </w:p>
        </w:tc>
        <w:tc>
          <w:tcPr>
            <w:tcW w:w="1855" w:type="dxa"/>
            <w:vMerge/>
            <w:tcBorders>
              <w:top w:val="single" w:sz="4" w:space="0" w:color="auto"/>
              <w:left w:val="nil"/>
              <w:bottom w:val="nil"/>
              <w:right w:val="nil"/>
            </w:tcBorders>
            <w:vAlign w:val="center"/>
            <w:hideMark/>
          </w:tcPr>
          <w:p w14:paraId="350D496C" w14:textId="77777777" w:rsidR="00CB3D2F" w:rsidRPr="00BC09E0" w:rsidRDefault="00CB3D2F" w:rsidP="00011F0B">
            <w:pPr>
              <w:rPr>
                <w:color w:val="000000"/>
                <w:sz w:val="20"/>
              </w:rPr>
            </w:pPr>
          </w:p>
        </w:tc>
        <w:tc>
          <w:tcPr>
            <w:tcW w:w="567" w:type="dxa"/>
            <w:vMerge/>
            <w:tcBorders>
              <w:top w:val="single" w:sz="4" w:space="0" w:color="auto"/>
              <w:left w:val="nil"/>
              <w:bottom w:val="nil"/>
              <w:right w:val="nil"/>
            </w:tcBorders>
            <w:vAlign w:val="center"/>
            <w:hideMark/>
          </w:tcPr>
          <w:p w14:paraId="59C67366" w14:textId="77777777" w:rsidR="00CB3D2F" w:rsidRPr="00BC09E0" w:rsidRDefault="00CB3D2F" w:rsidP="00011F0B">
            <w:pPr>
              <w:rPr>
                <w:color w:val="000000"/>
                <w:sz w:val="20"/>
              </w:rPr>
            </w:pPr>
          </w:p>
        </w:tc>
        <w:tc>
          <w:tcPr>
            <w:tcW w:w="425" w:type="dxa"/>
            <w:vMerge/>
            <w:tcBorders>
              <w:top w:val="single" w:sz="4" w:space="0" w:color="auto"/>
              <w:left w:val="nil"/>
              <w:bottom w:val="nil"/>
              <w:right w:val="nil"/>
            </w:tcBorders>
            <w:vAlign w:val="center"/>
            <w:hideMark/>
          </w:tcPr>
          <w:p w14:paraId="2D45EE9E" w14:textId="77777777" w:rsidR="00CB3D2F" w:rsidRPr="00BC09E0" w:rsidRDefault="00CB3D2F" w:rsidP="00011F0B">
            <w:pPr>
              <w:rPr>
                <w:color w:val="000000"/>
                <w:sz w:val="20"/>
              </w:rPr>
            </w:pPr>
          </w:p>
        </w:tc>
        <w:tc>
          <w:tcPr>
            <w:tcW w:w="567" w:type="dxa"/>
            <w:vMerge/>
            <w:tcBorders>
              <w:top w:val="single" w:sz="4" w:space="0" w:color="auto"/>
              <w:left w:val="nil"/>
              <w:bottom w:val="nil"/>
              <w:right w:val="nil"/>
            </w:tcBorders>
            <w:vAlign w:val="center"/>
            <w:hideMark/>
          </w:tcPr>
          <w:p w14:paraId="6EDFDFB7" w14:textId="77777777" w:rsidR="00CB3D2F" w:rsidRPr="00BC09E0" w:rsidRDefault="00CB3D2F" w:rsidP="00011F0B">
            <w:pPr>
              <w:rPr>
                <w:color w:val="000000"/>
                <w:sz w:val="20"/>
              </w:rPr>
            </w:pPr>
          </w:p>
        </w:tc>
        <w:tc>
          <w:tcPr>
            <w:tcW w:w="1155" w:type="dxa"/>
            <w:vMerge/>
            <w:tcBorders>
              <w:top w:val="single" w:sz="4" w:space="0" w:color="auto"/>
              <w:left w:val="nil"/>
              <w:bottom w:val="nil"/>
              <w:right w:val="nil"/>
            </w:tcBorders>
            <w:vAlign w:val="center"/>
            <w:hideMark/>
          </w:tcPr>
          <w:p w14:paraId="1D9651CA" w14:textId="77777777" w:rsidR="00CB3D2F" w:rsidRPr="00BC09E0" w:rsidRDefault="00CB3D2F" w:rsidP="00011F0B">
            <w:pPr>
              <w:rPr>
                <w:color w:val="000000"/>
                <w:sz w:val="20"/>
              </w:rPr>
            </w:pPr>
          </w:p>
        </w:tc>
      </w:tr>
      <w:tr w:rsidR="002B42FF" w:rsidRPr="00BC09E0" w14:paraId="6DE6383B" w14:textId="77777777" w:rsidTr="002B42FF">
        <w:trPr>
          <w:trHeight w:val="300"/>
          <w:jc w:val="center"/>
        </w:trPr>
        <w:tc>
          <w:tcPr>
            <w:tcW w:w="1101" w:type="dxa"/>
            <w:vMerge/>
            <w:tcBorders>
              <w:top w:val="single" w:sz="4" w:space="0" w:color="auto"/>
              <w:left w:val="nil"/>
              <w:bottom w:val="nil"/>
              <w:right w:val="nil"/>
            </w:tcBorders>
            <w:vAlign w:val="center"/>
            <w:hideMark/>
          </w:tcPr>
          <w:p w14:paraId="003865E8" w14:textId="77777777" w:rsidR="00CB3D2F" w:rsidRPr="00BC09E0" w:rsidRDefault="00CB3D2F" w:rsidP="00011F0B">
            <w:pPr>
              <w:rPr>
                <w:color w:val="000000"/>
                <w:sz w:val="20"/>
              </w:rPr>
            </w:pPr>
          </w:p>
        </w:tc>
        <w:tc>
          <w:tcPr>
            <w:tcW w:w="1417" w:type="dxa"/>
            <w:tcBorders>
              <w:top w:val="nil"/>
              <w:left w:val="nil"/>
              <w:bottom w:val="nil"/>
              <w:right w:val="nil"/>
            </w:tcBorders>
            <w:shd w:val="clear" w:color="auto" w:fill="auto"/>
            <w:noWrap/>
            <w:vAlign w:val="center"/>
            <w:hideMark/>
          </w:tcPr>
          <w:p w14:paraId="0EAA211E" w14:textId="77777777" w:rsidR="00CB3D2F" w:rsidRPr="00BC09E0" w:rsidRDefault="00CB3D2F" w:rsidP="00011F0B">
            <w:pPr>
              <w:rPr>
                <w:color w:val="000000"/>
                <w:sz w:val="20"/>
              </w:rPr>
            </w:pPr>
            <w:r w:rsidRPr="00BC09E0">
              <w:rPr>
                <w:color w:val="000000"/>
                <w:sz w:val="20"/>
              </w:rPr>
              <w:t>Normal (</w:t>
            </w:r>
            <w:r>
              <w:rPr>
                <w:color w:val="000000"/>
                <w:sz w:val="20"/>
              </w:rPr>
              <w:t>normal</w:t>
            </w:r>
            <w:r w:rsidRPr="00BC09E0">
              <w:rPr>
                <w:color w:val="000000"/>
                <w:sz w:val="20"/>
              </w:rPr>
              <w:t>)</w:t>
            </w:r>
          </w:p>
        </w:tc>
        <w:tc>
          <w:tcPr>
            <w:tcW w:w="1855" w:type="dxa"/>
            <w:tcBorders>
              <w:top w:val="nil"/>
              <w:left w:val="nil"/>
              <w:bottom w:val="nil"/>
              <w:right w:val="nil"/>
            </w:tcBorders>
            <w:shd w:val="clear" w:color="auto" w:fill="auto"/>
            <w:noWrap/>
            <w:vAlign w:val="center"/>
            <w:hideMark/>
          </w:tcPr>
          <w:p w14:paraId="2FC53958" w14:textId="77777777" w:rsidR="00CB3D2F" w:rsidRPr="00BC09E0" w:rsidRDefault="00CB3D2F" w:rsidP="00011F0B">
            <w:pPr>
              <w:jc w:val="center"/>
              <w:rPr>
                <w:color w:val="000000"/>
                <w:sz w:val="20"/>
              </w:rPr>
            </w:pPr>
            <w:r w:rsidRPr="00BC09E0">
              <w:rPr>
                <w:color w:val="000000"/>
                <w:sz w:val="20"/>
              </w:rPr>
              <w:t>23</w:t>
            </w:r>
          </w:p>
        </w:tc>
        <w:tc>
          <w:tcPr>
            <w:tcW w:w="567" w:type="dxa"/>
            <w:tcBorders>
              <w:top w:val="nil"/>
              <w:left w:val="nil"/>
              <w:bottom w:val="nil"/>
              <w:right w:val="nil"/>
            </w:tcBorders>
            <w:shd w:val="clear" w:color="auto" w:fill="auto"/>
            <w:noWrap/>
            <w:vAlign w:val="center"/>
            <w:hideMark/>
          </w:tcPr>
          <w:p w14:paraId="3C35A4B7" w14:textId="77777777" w:rsidR="00CB3D2F" w:rsidRPr="00BC09E0" w:rsidRDefault="00CB3D2F" w:rsidP="00011F0B">
            <w:pPr>
              <w:jc w:val="center"/>
              <w:rPr>
                <w:color w:val="000000"/>
                <w:sz w:val="20"/>
              </w:rPr>
            </w:pPr>
            <w:r w:rsidRPr="00BC09E0">
              <w:rPr>
                <w:color w:val="000000"/>
                <w:sz w:val="20"/>
              </w:rPr>
              <w:t>65.7</w:t>
            </w:r>
          </w:p>
        </w:tc>
        <w:tc>
          <w:tcPr>
            <w:tcW w:w="425" w:type="dxa"/>
            <w:tcBorders>
              <w:top w:val="nil"/>
              <w:left w:val="nil"/>
              <w:bottom w:val="nil"/>
              <w:right w:val="nil"/>
            </w:tcBorders>
            <w:shd w:val="clear" w:color="auto" w:fill="auto"/>
            <w:noWrap/>
            <w:vAlign w:val="center"/>
            <w:hideMark/>
          </w:tcPr>
          <w:p w14:paraId="70FCD1ED" w14:textId="77777777" w:rsidR="00CB3D2F" w:rsidRPr="00BC09E0" w:rsidRDefault="00CB3D2F" w:rsidP="00011F0B">
            <w:pPr>
              <w:jc w:val="center"/>
              <w:rPr>
                <w:color w:val="000000"/>
                <w:sz w:val="20"/>
              </w:rPr>
            </w:pPr>
            <w:r w:rsidRPr="00BC09E0">
              <w:rPr>
                <w:color w:val="000000"/>
                <w:sz w:val="20"/>
              </w:rPr>
              <w:t>12</w:t>
            </w:r>
          </w:p>
        </w:tc>
        <w:tc>
          <w:tcPr>
            <w:tcW w:w="567" w:type="dxa"/>
            <w:tcBorders>
              <w:top w:val="nil"/>
              <w:left w:val="nil"/>
              <w:bottom w:val="nil"/>
              <w:right w:val="nil"/>
            </w:tcBorders>
            <w:shd w:val="clear" w:color="auto" w:fill="auto"/>
            <w:noWrap/>
            <w:vAlign w:val="center"/>
            <w:hideMark/>
          </w:tcPr>
          <w:p w14:paraId="2E0E5BF2" w14:textId="77777777" w:rsidR="00CB3D2F" w:rsidRPr="00BC09E0" w:rsidRDefault="00CB3D2F" w:rsidP="00011F0B">
            <w:pPr>
              <w:jc w:val="center"/>
              <w:rPr>
                <w:color w:val="000000"/>
                <w:sz w:val="20"/>
              </w:rPr>
            </w:pPr>
            <w:r w:rsidRPr="00BC09E0">
              <w:rPr>
                <w:color w:val="000000"/>
                <w:sz w:val="20"/>
              </w:rPr>
              <w:t>34.3</w:t>
            </w:r>
          </w:p>
        </w:tc>
        <w:tc>
          <w:tcPr>
            <w:tcW w:w="1155" w:type="dxa"/>
            <w:vMerge/>
            <w:tcBorders>
              <w:top w:val="single" w:sz="4" w:space="0" w:color="auto"/>
              <w:left w:val="nil"/>
              <w:bottom w:val="nil"/>
              <w:right w:val="nil"/>
            </w:tcBorders>
            <w:vAlign w:val="center"/>
            <w:hideMark/>
          </w:tcPr>
          <w:p w14:paraId="77EA2DA6" w14:textId="77777777" w:rsidR="00CB3D2F" w:rsidRPr="00BC09E0" w:rsidRDefault="00CB3D2F" w:rsidP="00011F0B">
            <w:pPr>
              <w:rPr>
                <w:color w:val="000000"/>
                <w:sz w:val="20"/>
              </w:rPr>
            </w:pPr>
          </w:p>
        </w:tc>
      </w:tr>
      <w:tr w:rsidR="002B42FF" w:rsidRPr="00BC09E0" w14:paraId="7EE1C6D2" w14:textId="77777777" w:rsidTr="002B42FF">
        <w:trPr>
          <w:trHeight w:val="300"/>
          <w:jc w:val="center"/>
        </w:trPr>
        <w:tc>
          <w:tcPr>
            <w:tcW w:w="1101" w:type="dxa"/>
            <w:tcBorders>
              <w:top w:val="single" w:sz="4" w:space="0" w:color="auto"/>
              <w:left w:val="nil"/>
              <w:bottom w:val="single" w:sz="4" w:space="0" w:color="auto"/>
              <w:right w:val="nil"/>
            </w:tcBorders>
            <w:shd w:val="clear" w:color="auto" w:fill="auto"/>
            <w:noWrap/>
            <w:vAlign w:val="bottom"/>
            <w:hideMark/>
          </w:tcPr>
          <w:p w14:paraId="3408243F" w14:textId="77777777" w:rsidR="00CB3D2F" w:rsidRPr="00BC09E0" w:rsidRDefault="00CB3D2F" w:rsidP="00011F0B">
            <w:pPr>
              <w:rPr>
                <w:color w:val="000000"/>
                <w:sz w:val="20"/>
              </w:rPr>
            </w:pPr>
            <w:r w:rsidRPr="00BC09E0">
              <w:rPr>
                <w:color w:val="000000"/>
                <w:sz w:val="20"/>
              </w:rPr>
              <w:t> </w:t>
            </w:r>
          </w:p>
        </w:tc>
        <w:tc>
          <w:tcPr>
            <w:tcW w:w="1417" w:type="dxa"/>
            <w:tcBorders>
              <w:top w:val="single" w:sz="4" w:space="0" w:color="auto"/>
              <w:left w:val="nil"/>
              <w:bottom w:val="single" w:sz="4" w:space="0" w:color="auto"/>
              <w:right w:val="nil"/>
            </w:tcBorders>
            <w:shd w:val="clear" w:color="auto" w:fill="auto"/>
            <w:noWrap/>
            <w:vAlign w:val="bottom"/>
            <w:hideMark/>
          </w:tcPr>
          <w:p w14:paraId="3763659F" w14:textId="77777777" w:rsidR="00CB3D2F" w:rsidRPr="00BC09E0" w:rsidRDefault="00CB3D2F" w:rsidP="00011F0B">
            <w:pPr>
              <w:rPr>
                <w:b/>
                <w:color w:val="000000"/>
                <w:sz w:val="20"/>
              </w:rPr>
            </w:pPr>
            <w:r w:rsidRPr="00BC09E0">
              <w:rPr>
                <w:b/>
                <w:color w:val="000000"/>
                <w:sz w:val="20"/>
              </w:rPr>
              <w:t>Total</w:t>
            </w:r>
          </w:p>
        </w:tc>
        <w:tc>
          <w:tcPr>
            <w:tcW w:w="1855" w:type="dxa"/>
            <w:tcBorders>
              <w:top w:val="single" w:sz="4" w:space="0" w:color="auto"/>
              <w:left w:val="nil"/>
              <w:bottom w:val="single" w:sz="4" w:space="0" w:color="auto"/>
              <w:right w:val="nil"/>
            </w:tcBorders>
            <w:shd w:val="clear" w:color="auto" w:fill="auto"/>
            <w:noWrap/>
            <w:vAlign w:val="center"/>
            <w:hideMark/>
          </w:tcPr>
          <w:p w14:paraId="7B3E4B57" w14:textId="77777777" w:rsidR="00CB3D2F" w:rsidRPr="00BC09E0" w:rsidRDefault="00CB3D2F" w:rsidP="00011F0B">
            <w:pPr>
              <w:jc w:val="center"/>
              <w:rPr>
                <w:b/>
                <w:color w:val="000000"/>
                <w:sz w:val="20"/>
              </w:rPr>
            </w:pPr>
            <w:r w:rsidRPr="00BC09E0">
              <w:rPr>
                <w:b/>
                <w:color w:val="000000"/>
                <w:sz w:val="20"/>
              </w:rPr>
              <w:t>31</w:t>
            </w:r>
          </w:p>
        </w:tc>
        <w:tc>
          <w:tcPr>
            <w:tcW w:w="567" w:type="dxa"/>
            <w:tcBorders>
              <w:top w:val="single" w:sz="4" w:space="0" w:color="auto"/>
              <w:left w:val="nil"/>
              <w:bottom w:val="single" w:sz="4" w:space="0" w:color="auto"/>
              <w:right w:val="nil"/>
            </w:tcBorders>
            <w:shd w:val="clear" w:color="auto" w:fill="auto"/>
            <w:noWrap/>
            <w:vAlign w:val="center"/>
            <w:hideMark/>
          </w:tcPr>
          <w:p w14:paraId="1FDD4CDB" w14:textId="77777777" w:rsidR="00CB3D2F" w:rsidRPr="00BC09E0" w:rsidRDefault="00CB3D2F" w:rsidP="00011F0B">
            <w:pPr>
              <w:jc w:val="center"/>
              <w:rPr>
                <w:b/>
                <w:color w:val="000000"/>
                <w:sz w:val="20"/>
              </w:rPr>
            </w:pPr>
            <w:r w:rsidRPr="00BC09E0">
              <w:rPr>
                <w:b/>
                <w:color w:val="000000"/>
                <w:sz w:val="20"/>
              </w:rPr>
              <w:t>66.0</w:t>
            </w:r>
          </w:p>
        </w:tc>
        <w:tc>
          <w:tcPr>
            <w:tcW w:w="425" w:type="dxa"/>
            <w:tcBorders>
              <w:top w:val="single" w:sz="4" w:space="0" w:color="auto"/>
              <w:left w:val="nil"/>
              <w:bottom w:val="single" w:sz="4" w:space="0" w:color="auto"/>
              <w:right w:val="nil"/>
            </w:tcBorders>
            <w:shd w:val="clear" w:color="auto" w:fill="auto"/>
            <w:noWrap/>
            <w:vAlign w:val="center"/>
            <w:hideMark/>
          </w:tcPr>
          <w:p w14:paraId="07DA37F7" w14:textId="77777777" w:rsidR="00CB3D2F" w:rsidRPr="00BC09E0" w:rsidRDefault="00CB3D2F" w:rsidP="00011F0B">
            <w:pPr>
              <w:jc w:val="center"/>
              <w:rPr>
                <w:b/>
                <w:color w:val="000000"/>
                <w:sz w:val="20"/>
              </w:rPr>
            </w:pPr>
            <w:r w:rsidRPr="00BC09E0">
              <w:rPr>
                <w:b/>
                <w:color w:val="000000"/>
                <w:sz w:val="20"/>
              </w:rPr>
              <w:t>16</w:t>
            </w:r>
          </w:p>
        </w:tc>
        <w:tc>
          <w:tcPr>
            <w:tcW w:w="567" w:type="dxa"/>
            <w:tcBorders>
              <w:top w:val="single" w:sz="4" w:space="0" w:color="auto"/>
              <w:left w:val="nil"/>
              <w:bottom w:val="single" w:sz="4" w:space="0" w:color="auto"/>
              <w:right w:val="nil"/>
            </w:tcBorders>
            <w:shd w:val="clear" w:color="auto" w:fill="auto"/>
            <w:noWrap/>
            <w:vAlign w:val="center"/>
            <w:hideMark/>
          </w:tcPr>
          <w:p w14:paraId="59A1C05E" w14:textId="77777777" w:rsidR="00CB3D2F" w:rsidRPr="00BC09E0" w:rsidRDefault="00CB3D2F" w:rsidP="00011F0B">
            <w:pPr>
              <w:jc w:val="center"/>
              <w:rPr>
                <w:b/>
                <w:color w:val="000000"/>
                <w:sz w:val="20"/>
              </w:rPr>
            </w:pPr>
            <w:r w:rsidRPr="00BC09E0">
              <w:rPr>
                <w:b/>
                <w:color w:val="000000"/>
                <w:sz w:val="20"/>
              </w:rPr>
              <w:t>34.0</w:t>
            </w:r>
          </w:p>
        </w:tc>
        <w:tc>
          <w:tcPr>
            <w:tcW w:w="1155" w:type="dxa"/>
            <w:tcBorders>
              <w:top w:val="single" w:sz="4" w:space="0" w:color="auto"/>
              <w:left w:val="nil"/>
              <w:bottom w:val="single" w:sz="4" w:space="0" w:color="auto"/>
              <w:right w:val="nil"/>
            </w:tcBorders>
            <w:shd w:val="clear" w:color="auto" w:fill="auto"/>
            <w:noWrap/>
            <w:vAlign w:val="bottom"/>
            <w:hideMark/>
          </w:tcPr>
          <w:p w14:paraId="2D5DB47C" w14:textId="77777777" w:rsidR="00CB3D2F" w:rsidRPr="00BC09E0" w:rsidRDefault="00CB3D2F" w:rsidP="00011F0B">
            <w:pPr>
              <w:rPr>
                <w:color w:val="000000"/>
                <w:sz w:val="20"/>
              </w:rPr>
            </w:pPr>
            <w:r w:rsidRPr="00BC09E0">
              <w:rPr>
                <w:color w:val="000000"/>
                <w:sz w:val="20"/>
              </w:rPr>
              <w:t> </w:t>
            </w:r>
          </w:p>
        </w:tc>
      </w:tr>
    </w:tbl>
    <w:p w14:paraId="369554F6" w14:textId="77777777" w:rsidR="002B42FF" w:rsidRDefault="00CB3D2F" w:rsidP="002B42FF">
      <w:pPr>
        <w:spacing w:after="200" w:line="360" w:lineRule="auto"/>
        <w:ind w:left="993"/>
        <w:contextualSpacing/>
        <w:rPr>
          <w:rFonts w:eastAsia="MS Mincho"/>
          <w:sz w:val="20"/>
        </w:rPr>
      </w:pPr>
      <w:r w:rsidRPr="00BC09E0">
        <w:rPr>
          <w:rFonts w:eastAsia="MS Mincho"/>
          <w:sz w:val="20"/>
        </w:rPr>
        <w:t xml:space="preserve">OR= 1.043 (95% </w:t>
      </w:r>
      <w:r w:rsidRPr="00BC09E0">
        <w:rPr>
          <w:rFonts w:eastAsia="MS Mincho"/>
          <w:i/>
          <w:sz w:val="20"/>
        </w:rPr>
        <w:t>Confidence Interval</w:t>
      </w:r>
      <w:r w:rsidRPr="00BC09E0">
        <w:rPr>
          <w:rFonts w:eastAsia="MS Mincho"/>
          <w:sz w:val="20"/>
        </w:rPr>
        <w:t>= 0.260 – 4.183)</w:t>
      </w:r>
    </w:p>
    <w:p w14:paraId="19E91FC9" w14:textId="77777777" w:rsidR="00CB3D2F" w:rsidRPr="002B42FF" w:rsidRDefault="00CB3D2F" w:rsidP="002B42FF">
      <w:pPr>
        <w:spacing w:after="200" w:line="360" w:lineRule="auto"/>
        <w:ind w:left="2127" w:hanging="1134"/>
        <w:contextualSpacing/>
        <w:rPr>
          <w:rFonts w:eastAsia="MS Mincho"/>
          <w:sz w:val="20"/>
        </w:rPr>
      </w:pPr>
      <w:proofErr w:type="gramStart"/>
      <w:r w:rsidRPr="00085854">
        <w:rPr>
          <w:sz w:val="20"/>
        </w:rPr>
        <w:t>Sumber :</w:t>
      </w:r>
      <w:proofErr w:type="gramEnd"/>
      <w:r w:rsidRPr="00085854">
        <w:rPr>
          <w:sz w:val="20"/>
        </w:rPr>
        <w:t xml:space="preserve"> Data Primer, 2019</w:t>
      </w:r>
    </w:p>
    <w:p w14:paraId="1F752143" w14:textId="77777777" w:rsidR="00CB3D2F" w:rsidRDefault="00CB3D2F" w:rsidP="00CB3D2F">
      <w:pPr>
        <w:pStyle w:val="BodytextIndented"/>
        <w:spacing w:before="240"/>
        <w:ind w:firstLine="0"/>
        <w:rPr>
          <w:lang w:val="id-ID"/>
        </w:rPr>
      </w:pPr>
      <w:r w:rsidRPr="007A7645">
        <w:rPr>
          <w:rFonts w:eastAsia="MS Mincho"/>
          <w:szCs w:val="24"/>
          <w:lang w:val="fr-FR"/>
        </w:rPr>
        <w:t xml:space="preserve">Nikotin yang terkandung dalam rokok cukup berpengaruh pada sistem saraf pusat dalam meregulasi pemasukan makanan dan pengeluaran energi dengan melepaskan hormon-hormon seperti </w:t>
      </w:r>
      <w:r w:rsidRPr="007A7645">
        <w:rPr>
          <w:rFonts w:eastAsia="MS Mincho"/>
          <w:i/>
          <w:szCs w:val="24"/>
          <w:lang w:val="fr-FR"/>
        </w:rPr>
        <w:t>norepinephrine, dopamine, serotonin</w:t>
      </w:r>
      <w:r w:rsidRPr="007A7645">
        <w:rPr>
          <w:rFonts w:eastAsia="MS Mincho"/>
          <w:szCs w:val="24"/>
          <w:lang w:val="fr-FR"/>
        </w:rPr>
        <w:t xml:space="preserve">, dan </w:t>
      </w:r>
      <w:r w:rsidRPr="007A7645">
        <w:rPr>
          <w:rFonts w:eastAsia="MS Mincho"/>
          <w:i/>
          <w:szCs w:val="24"/>
          <w:lang w:val="fr-FR"/>
        </w:rPr>
        <w:t>y-aminobutyric acid</w:t>
      </w:r>
      <w:r w:rsidRPr="007A7645">
        <w:rPr>
          <w:rFonts w:eastAsia="MS Mincho"/>
          <w:szCs w:val="24"/>
          <w:lang w:val="fr-FR"/>
        </w:rPr>
        <w:t xml:space="preserve"> yang akan menginhibisi hormon-hormon </w:t>
      </w:r>
      <w:r w:rsidRPr="007A7645">
        <w:rPr>
          <w:rFonts w:eastAsia="MS Mincho"/>
          <w:i/>
          <w:szCs w:val="24"/>
          <w:lang w:val="fr-FR"/>
        </w:rPr>
        <w:t>neuropeptide Y, agouti-related peptide</w:t>
      </w:r>
      <w:r w:rsidRPr="007A7645">
        <w:rPr>
          <w:rFonts w:eastAsia="MS Mincho"/>
          <w:szCs w:val="24"/>
          <w:lang w:val="fr-FR"/>
        </w:rPr>
        <w:t xml:space="preserve">, dan </w:t>
      </w:r>
      <w:r w:rsidRPr="007A7645">
        <w:rPr>
          <w:rFonts w:eastAsia="MS Mincho"/>
          <w:i/>
          <w:szCs w:val="24"/>
          <w:lang w:val="fr-FR"/>
        </w:rPr>
        <w:t>orexin</w:t>
      </w:r>
      <w:r w:rsidRPr="007A7645">
        <w:rPr>
          <w:rFonts w:eastAsia="MS Mincho"/>
          <w:szCs w:val="24"/>
          <w:lang w:val="fr-FR"/>
        </w:rPr>
        <w:t xml:space="preserve"> sehingga pada perokok cenderung jarang merasa lapar yang akan berimbas pada pe</w:t>
      </w:r>
      <w:r w:rsidR="00011F0B">
        <w:rPr>
          <w:rFonts w:eastAsia="MS Mincho"/>
          <w:szCs w:val="24"/>
          <w:lang w:val="fr-FR"/>
        </w:rPr>
        <w:t>masukan makanan dan berat badan</w:t>
      </w:r>
      <w:r w:rsidRPr="00EC48DF">
        <w:rPr>
          <w:rFonts w:eastAsia="MS Mincho"/>
          <w:szCs w:val="24"/>
          <w:lang w:val="fr-FR"/>
        </w:rPr>
        <w:t>.</w:t>
      </w:r>
      <w:r w:rsidR="00011F0B" w:rsidRPr="002B42FF">
        <w:rPr>
          <w:rFonts w:eastAsia="MS Mincho"/>
          <w:szCs w:val="24"/>
          <w:vertAlign w:val="superscript"/>
          <w:lang w:val="fr-FR"/>
        </w:rPr>
        <w:t>[15]</w:t>
      </w:r>
      <w:r w:rsidRPr="00EC48DF">
        <w:rPr>
          <w:rFonts w:eastAsia="MS Mincho"/>
          <w:szCs w:val="24"/>
          <w:lang w:val="fr-FR"/>
        </w:rPr>
        <w:t xml:space="preserve"> Dari data yang telah </w:t>
      </w:r>
      <w:r w:rsidRPr="00EC48DF">
        <w:rPr>
          <w:rFonts w:eastAsia="MS Mincho"/>
          <w:szCs w:val="24"/>
          <w:lang w:val="fr-FR"/>
        </w:rPr>
        <w:lastRenderedPageBreak/>
        <w:t>didapatkan</w:t>
      </w:r>
      <w:r w:rsidRPr="007A7645">
        <w:rPr>
          <w:rFonts w:eastAsia="MS Mincho"/>
          <w:szCs w:val="24"/>
          <w:lang w:val="fr-FR"/>
        </w:rPr>
        <w:t>, distribusi IMT pekerja satpam UPN Veteran Jakarta paling besar adalah kategori IMT</w:t>
      </w:r>
      <w:r>
        <w:rPr>
          <w:rFonts w:eastAsia="MS Mincho"/>
          <w:szCs w:val="24"/>
          <w:lang w:val="fr-FR"/>
        </w:rPr>
        <w:t xml:space="preserve"> normal</w:t>
      </w:r>
      <w:r w:rsidRPr="007A7645">
        <w:rPr>
          <w:rFonts w:eastAsia="MS Mincho"/>
          <w:i/>
          <w:szCs w:val="24"/>
          <w:lang w:val="fr-FR"/>
        </w:rPr>
        <w:t xml:space="preserve">, </w:t>
      </w:r>
      <w:r w:rsidRPr="007A7645">
        <w:rPr>
          <w:rFonts w:eastAsia="MS Mincho"/>
          <w:szCs w:val="24"/>
          <w:lang w:val="fr-FR"/>
        </w:rPr>
        <w:t>dan rata-rata jumlah batang rokok perhari yang dikonsumsi sebanyak 15.76 batang. Hal ini cukup mendukung teori bahwa rokok turut mempengaruhi berat badan yang akan berimbas pada perolehan nilai IMT, dan nilai IMT tidak berpengaruh signifikan terhadap perolehan nilai APE.</w:t>
      </w:r>
    </w:p>
    <w:p w14:paraId="6B89C681" w14:textId="77777777" w:rsidR="004F7046" w:rsidRDefault="00024F97" w:rsidP="00EA09F8">
      <w:pPr>
        <w:pStyle w:val="Section"/>
        <w:ind w:left="0"/>
        <w:rPr>
          <w:lang w:val="id-ID"/>
        </w:rPr>
      </w:pPr>
      <w:r>
        <w:rPr>
          <w:lang w:val="id-ID"/>
        </w:rPr>
        <w:t>Kesimpulan</w:t>
      </w:r>
    </w:p>
    <w:p w14:paraId="1F91216D" w14:textId="77777777" w:rsidR="00CB3D2F" w:rsidRPr="00CB3D2F" w:rsidRDefault="00CB3D2F" w:rsidP="00CB3D2F">
      <w:pPr>
        <w:pStyle w:val="Bodytext"/>
      </w:pPr>
      <w:r w:rsidRPr="002058D0">
        <w:rPr>
          <w:rFonts w:eastAsia="MS Mincho"/>
          <w:szCs w:val="24"/>
        </w:rPr>
        <w:t>Berdasarkan hasil analisis dan pembahasan penelitian yang diambil, maka dapat diambil kesimpulan</w:t>
      </w:r>
      <w:r>
        <w:rPr>
          <w:rFonts w:eastAsia="MS Mincho"/>
          <w:szCs w:val="24"/>
        </w:rPr>
        <w:t xml:space="preserve"> bahwa d</w:t>
      </w:r>
      <w:r w:rsidRPr="002058D0">
        <w:rPr>
          <w:rFonts w:eastAsia="MS Mincho"/>
          <w:szCs w:val="24"/>
        </w:rPr>
        <w:t>erajat keparahan merokok yang mendominasi adalah derajat k</w:t>
      </w:r>
      <w:r>
        <w:rPr>
          <w:rFonts w:eastAsia="MS Mincho"/>
          <w:szCs w:val="24"/>
        </w:rPr>
        <w:t xml:space="preserve">eparahan merokok kategori ringan dan sedang masing-masing sebanyak 20 orang, dan </w:t>
      </w:r>
      <w:r w:rsidRPr="002058D0">
        <w:rPr>
          <w:rFonts w:eastAsia="MS Mincho"/>
          <w:szCs w:val="24"/>
        </w:rPr>
        <w:t>derajat k</w:t>
      </w:r>
      <w:r>
        <w:rPr>
          <w:rFonts w:eastAsia="MS Mincho"/>
          <w:szCs w:val="24"/>
        </w:rPr>
        <w:t xml:space="preserve">eparahan merokok kategori berat sebanyak 7 orang. </w:t>
      </w:r>
      <w:r w:rsidRPr="002058D0">
        <w:rPr>
          <w:rFonts w:eastAsia="MS Mincho"/>
          <w:szCs w:val="24"/>
        </w:rPr>
        <w:t>Gambaran nilai APE yang mendominasi adalah ka</w:t>
      </w:r>
      <w:r>
        <w:rPr>
          <w:rFonts w:eastAsia="MS Mincho"/>
          <w:szCs w:val="24"/>
        </w:rPr>
        <w:t xml:space="preserve">tegori APE kuning sebanyak 30 orang, kategori APE merah sebanyak 16 orang, dan kategori APE hijau sebanyak 1 orang. Gambaran IMT yang mendominasi adalah normal sebanyak 35 orang, berlebih sebanyak 9 orang, dan kurang sebanyak 1 orang. </w:t>
      </w:r>
      <w:r w:rsidRPr="002058D0">
        <w:rPr>
          <w:rFonts w:eastAsia="MS Mincho"/>
          <w:bCs/>
          <w:szCs w:val="24"/>
        </w:rPr>
        <w:t>Merokok berpengaruh secara signifika</w:t>
      </w:r>
      <w:r>
        <w:rPr>
          <w:rFonts w:eastAsia="MS Mincho"/>
          <w:bCs/>
          <w:szCs w:val="24"/>
        </w:rPr>
        <w:t xml:space="preserve">n </w:t>
      </w:r>
      <w:r w:rsidRPr="002058D0">
        <w:rPr>
          <w:rFonts w:eastAsia="MS Mincho"/>
          <w:bCs/>
          <w:szCs w:val="24"/>
        </w:rPr>
        <w:t>terhadap perolehan nilai APE pada pekerja satpam.</w:t>
      </w:r>
      <w:r>
        <w:rPr>
          <w:rFonts w:eastAsia="MS Mincho"/>
          <w:bCs/>
          <w:szCs w:val="24"/>
        </w:rPr>
        <w:t xml:space="preserve"> IMT tidak berpengaruh secara signifikan terhadap perolehan nilai APE pada pekerja satpam.</w:t>
      </w:r>
    </w:p>
    <w:p w14:paraId="1DBC0F11" w14:textId="77777777" w:rsidR="009A0487" w:rsidRPr="000850C5" w:rsidRDefault="000850C5">
      <w:pPr>
        <w:pStyle w:val="Sectionnonumber"/>
        <w:rPr>
          <w:lang w:val="id-ID"/>
        </w:rPr>
      </w:pPr>
      <w:r>
        <w:t>Referen</w:t>
      </w:r>
      <w:r>
        <w:rPr>
          <w:lang w:val="id-ID"/>
        </w:rPr>
        <w:t>si</w:t>
      </w:r>
    </w:p>
    <w:p w14:paraId="529AC90E" w14:textId="77777777" w:rsidR="00011F0B" w:rsidRDefault="00011F0B" w:rsidP="00224318">
      <w:pPr>
        <w:pStyle w:val="Reference"/>
      </w:pPr>
      <w:r>
        <w:rPr>
          <w:szCs w:val="24"/>
        </w:rPr>
        <w:t>World Health Organization</w:t>
      </w:r>
      <w:r w:rsidRPr="00A83711">
        <w:rPr>
          <w:szCs w:val="24"/>
        </w:rPr>
        <w:t>. WHO Report on The Global Tobacco Epidemic 2013. 2013.</w:t>
      </w:r>
      <w:r w:rsidR="00224318" w:rsidRPr="00C05C9A">
        <w:t xml:space="preserve">Kementerian Kesehatan RI. </w:t>
      </w:r>
    </w:p>
    <w:p w14:paraId="171FFBAD" w14:textId="77777777" w:rsidR="00224318" w:rsidRDefault="00011F0B" w:rsidP="00224318">
      <w:pPr>
        <w:pStyle w:val="Reference"/>
      </w:pPr>
      <w:r>
        <w:rPr>
          <w:szCs w:val="24"/>
        </w:rPr>
        <w:t>Kementeria</w:t>
      </w:r>
      <w:r w:rsidRPr="00A83711">
        <w:rPr>
          <w:szCs w:val="24"/>
        </w:rPr>
        <w:t>n K</w:t>
      </w:r>
      <w:r>
        <w:rPr>
          <w:szCs w:val="24"/>
        </w:rPr>
        <w:t>esehatan</w:t>
      </w:r>
      <w:r w:rsidRPr="00A83711">
        <w:rPr>
          <w:szCs w:val="24"/>
        </w:rPr>
        <w:t>. Profil Kesehatan Indonesia Tahun 2013. Ris Kesehat Dasar [Internet]. 2013; Available from: https://www.depkes.go.id/resources/download/general/Hasil Riskesdas 2013.pdf</w:t>
      </w:r>
      <w:r w:rsidR="00224318">
        <w:t xml:space="preserve"> </w:t>
      </w:r>
    </w:p>
    <w:p w14:paraId="4106CA4E" w14:textId="77777777" w:rsidR="00224318" w:rsidRDefault="00011F0B" w:rsidP="00224318">
      <w:pPr>
        <w:pStyle w:val="Reference"/>
      </w:pPr>
      <w:r w:rsidRPr="00A83711">
        <w:rPr>
          <w:szCs w:val="24"/>
        </w:rPr>
        <w:t>Drope J, Schluger NW, Cahn Z, Drope J, Hamill S, Islami F, et al. The Tobacco Atlas 6th Edition. Tob Atlas 6th Ed [Internet]. 2018; Available from: https://tobaccoatlas.org/wp-content/uploads/2018/03/TobaccoAtlas_6thEdition_LoRes_Rev0318.pdf</w:t>
      </w:r>
    </w:p>
    <w:p w14:paraId="3C8BDD7D" w14:textId="77777777" w:rsidR="00011F0B" w:rsidRDefault="00011F0B" w:rsidP="00011F0B">
      <w:pPr>
        <w:pStyle w:val="Reference"/>
      </w:pPr>
      <w:r w:rsidRPr="00A83711">
        <w:rPr>
          <w:szCs w:val="24"/>
        </w:rPr>
        <w:t>Subanada. Rokok dan Kesehatan. Jakarta: UI Press; 2004.</w:t>
      </w:r>
    </w:p>
    <w:p w14:paraId="5CBCE55E" w14:textId="77777777" w:rsidR="00224318" w:rsidRDefault="00011F0B" w:rsidP="00224318">
      <w:pPr>
        <w:pStyle w:val="Reference"/>
      </w:pPr>
      <w:r w:rsidRPr="00A83711">
        <w:rPr>
          <w:szCs w:val="24"/>
        </w:rPr>
        <w:t>Rennard S, Doughton D. Perhimpunan Dokter Paru Indonesia [Internet]. PPOK (penyakit paru obstruktif kronik) diagnosa dan penatalaksanaan. 2011. Available from: http://www.klikpdpi.com/jurnal-warta/rokok/rokok-kes-03.html</w:t>
      </w:r>
    </w:p>
    <w:p w14:paraId="55B822A3" w14:textId="77777777" w:rsidR="00224318" w:rsidRDefault="00011F0B" w:rsidP="00224318">
      <w:pPr>
        <w:pStyle w:val="Reference"/>
      </w:pPr>
      <w:r w:rsidRPr="00A83711">
        <w:rPr>
          <w:szCs w:val="24"/>
        </w:rPr>
        <w:t>Indonesia. Peraturan Pemerintah Republik Indonesia 81 Tahun 1999 Tentang Pengamanan Rokok Bagi Kesehatan. 1999; Available from: https://www.tobaccocontrollaws.org/files/live/Indonesia/Indonesia - PP No. 81 of 1999 - national.pdf</w:t>
      </w:r>
      <w:r w:rsidR="00224318" w:rsidRPr="00C05C9A">
        <w:t xml:space="preserve">Triwibowo C, Yuliawati S, </w:t>
      </w:r>
      <w:r w:rsidR="00DD0066">
        <w:rPr>
          <w:lang w:val="id-ID"/>
        </w:rPr>
        <w:t xml:space="preserve">dan </w:t>
      </w:r>
      <w:r w:rsidR="00224318" w:rsidRPr="00C05C9A">
        <w:t xml:space="preserve">Husna NA. Handover sebagai upaya peningkatan keselamatan pasien (patient safety) di rumah sakit. </w:t>
      </w:r>
      <w:r w:rsidR="00224318" w:rsidRPr="00F23201">
        <w:rPr>
          <w:i/>
        </w:rPr>
        <w:t>J</w:t>
      </w:r>
      <w:r w:rsidR="00F23201" w:rsidRPr="00F23201">
        <w:rPr>
          <w:i/>
          <w:lang w:val="id-ID"/>
        </w:rPr>
        <w:t>.</w:t>
      </w:r>
      <w:r w:rsidR="00224318" w:rsidRPr="00F23201">
        <w:rPr>
          <w:i/>
        </w:rPr>
        <w:t xml:space="preserve"> Keperawatan Soedirman</w:t>
      </w:r>
      <w:r w:rsidR="00224318" w:rsidRPr="00C05C9A">
        <w:t xml:space="preserve"> [Internet]. 2016;</w:t>
      </w:r>
      <w:r w:rsidR="00224318" w:rsidRPr="00F23201">
        <w:rPr>
          <w:b/>
        </w:rPr>
        <w:t>11</w:t>
      </w:r>
      <w:r w:rsidR="00224318" w:rsidRPr="00C05C9A">
        <w:t>(2):76–80. Available from: http://jks.fikes.unsoed.ac.id/index.php/jks/article/download/646/431</w:t>
      </w:r>
    </w:p>
    <w:p w14:paraId="141598BD" w14:textId="77777777" w:rsidR="00224318" w:rsidRPr="00C05C9A" w:rsidRDefault="00011F0B" w:rsidP="00224318">
      <w:pPr>
        <w:pStyle w:val="Reference"/>
      </w:pPr>
      <w:r w:rsidRPr="00A83711">
        <w:rPr>
          <w:szCs w:val="24"/>
        </w:rPr>
        <w:t>Herawati MH. Bahan yang Mengandung Zat Adiktif pada Produk Rokok dan Dampaknya Terhadap Kesehatan. Pros Semin Nas XIX “Kimia dalam Ind dan Lingkungan” [Internet]. 2010;(February):639–46. Available from: https://www.researchgate.net/publication/313643187_bahan_yang_mengandung_zat_adiktif_pada_produk_rokok_dan_dampaknya_terhadap_kesehatan</w:t>
      </w:r>
    </w:p>
    <w:p w14:paraId="1B91561E" w14:textId="77777777" w:rsidR="00224318" w:rsidRDefault="00905A1A" w:rsidP="00224318">
      <w:pPr>
        <w:pStyle w:val="Reference"/>
      </w:pPr>
      <w:r w:rsidRPr="00A83711">
        <w:rPr>
          <w:szCs w:val="24"/>
        </w:rPr>
        <w:t>Badriyah S. Peran Shift Kerja di Dalam Kinerja Satpam Universitas Islam Negeri Maulana Malik Ibrahim Malang. ethesis UIN Malang [Internet]. 2016; Available from: http://etheses.uin-malang.ac.id/3721/1/12410172.pdf</w:t>
      </w:r>
    </w:p>
    <w:p w14:paraId="31A16D01" w14:textId="77777777" w:rsidR="00224318" w:rsidRPr="00C05C9A" w:rsidRDefault="00905A1A" w:rsidP="00224318">
      <w:pPr>
        <w:pStyle w:val="Reference"/>
      </w:pPr>
      <w:r w:rsidRPr="00A83711">
        <w:rPr>
          <w:szCs w:val="24"/>
        </w:rPr>
        <w:t>Siregar FZ. Perbandingan Arus Puncak Ekspirasi Sebelum dan Sesudah Latihan Fisik Pada Anak Obesitas dan Tidak Obesitas. 2008; Available from: https://pdfs.semanticscholar.org/f096/5b03a734ffff18fec44dbb7a2a537cd8e296.pdf</w:t>
      </w:r>
    </w:p>
    <w:p w14:paraId="18DF8A5F" w14:textId="77777777" w:rsidR="00224318" w:rsidRPr="00C05C9A" w:rsidRDefault="00905A1A" w:rsidP="00224318">
      <w:pPr>
        <w:pStyle w:val="Reference"/>
      </w:pPr>
      <w:r w:rsidRPr="00A83711">
        <w:rPr>
          <w:szCs w:val="24"/>
        </w:rPr>
        <w:t>Notoatmodjo S. Metodologi Penelitian Kesehatan. PT. Rineka Cipta Jakarta; 2010.</w:t>
      </w:r>
    </w:p>
    <w:p w14:paraId="52CC0B2B" w14:textId="77777777" w:rsidR="00224318" w:rsidRPr="00C05C9A" w:rsidRDefault="00905A1A" w:rsidP="00224318">
      <w:pPr>
        <w:pStyle w:val="Reference"/>
      </w:pPr>
      <w:r w:rsidRPr="00A83711">
        <w:rPr>
          <w:szCs w:val="24"/>
        </w:rPr>
        <w:t>Dahlan S. Besar sampel dalam penelitian kedokteran dan kesehatan. Jakarta: Epidemiologi Indonesia; 2016.</w:t>
      </w:r>
    </w:p>
    <w:p w14:paraId="78D55459" w14:textId="77777777" w:rsidR="00224318" w:rsidRPr="00C05C9A" w:rsidRDefault="00905A1A" w:rsidP="00224318">
      <w:pPr>
        <w:pStyle w:val="Reference"/>
      </w:pPr>
      <w:r w:rsidRPr="00A83711">
        <w:rPr>
          <w:szCs w:val="24"/>
        </w:rPr>
        <w:t xml:space="preserve">Sari SR, Fatmah. Stres Sebagai Faktor Dominan terhadap Status Kebugaran Aerobik pada Satpam Laki-Laki Universitas Indonesia Tahun 2014. Libr UI [Internet]. 2014; Available </w:t>
      </w:r>
      <w:r w:rsidRPr="00A83711">
        <w:rPr>
          <w:szCs w:val="24"/>
        </w:rPr>
        <w:lastRenderedPageBreak/>
        <w:t>from: http://lib.ui.ac.id/naskahringkas/2016-06/S56261-Syafira Rembulan Sari</w:t>
      </w:r>
    </w:p>
    <w:p w14:paraId="2B11D178" w14:textId="77777777" w:rsidR="00224318" w:rsidRPr="00C05C9A" w:rsidRDefault="00905A1A" w:rsidP="00224318">
      <w:pPr>
        <w:pStyle w:val="Reference"/>
      </w:pPr>
      <w:r w:rsidRPr="00A83711">
        <w:rPr>
          <w:szCs w:val="24"/>
        </w:rPr>
        <w:t>Guyton, Hall. Buku Ajar Fisiologi Kedokteran. 12th ed. Elsevier; 2016.</w:t>
      </w:r>
    </w:p>
    <w:p w14:paraId="659DBB3D" w14:textId="77777777" w:rsidR="00224318" w:rsidRPr="00C05C9A" w:rsidRDefault="00905A1A" w:rsidP="00905A1A">
      <w:pPr>
        <w:pStyle w:val="Reference"/>
      </w:pPr>
      <w:r w:rsidRPr="00A83711">
        <w:t>Putra IP, Artika IDM. Diagnosis dan Tatalaksana Penyakit Paru Obstruktif Kronis. Ilmu Penyakit Dalam FK UNUD/RSUP Sanglah Denpasar [Internet]. 2011;1–16. Available from: https://ojs.unud.ac.id/index.php/eum/article/download/4872/3658</w:t>
      </w:r>
    </w:p>
    <w:p w14:paraId="6F24FA69" w14:textId="77777777" w:rsidR="00224318" w:rsidRPr="00C05C9A" w:rsidRDefault="00905A1A" w:rsidP="00224318">
      <w:pPr>
        <w:pStyle w:val="Reference"/>
      </w:pPr>
      <w:r w:rsidRPr="00A83711">
        <w:rPr>
          <w:szCs w:val="24"/>
        </w:rPr>
        <w:t>Valassi E, Scacchi M, Cavagnini F. Neuroendocrine Coontrol of Food Intake. Nutr Metab Cardiovasc Dis. 2008;18(2):158–68.</w:t>
      </w:r>
      <w:r w:rsidR="00224318" w:rsidRPr="00C05C9A">
        <w:t xml:space="preserve"> </w:t>
      </w:r>
    </w:p>
    <w:p w14:paraId="78A77385" w14:textId="77777777" w:rsidR="006F45A4" w:rsidRPr="00CF3E5B" w:rsidRDefault="006F45A4" w:rsidP="00905A1A">
      <w:pPr>
        <w:pStyle w:val="Reference"/>
        <w:numPr>
          <w:ilvl w:val="0"/>
          <w:numId w:val="0"/>
        </w:numPr>
      </w:pPr>
    </w:p>
    <w:sectPr w:rsidR="006F45A4" w:rsidRPr="00CF3E5B" w:rsidSect="00B3268B">
      <w:headerReference w:type="default" r:id="rId9"/>
      <w:footnotePr>
        <w:pos w:val="beneathText"/>
      </w:footnotePr>
      <w:endnotePr>
        <w:numFmt w:val="chicago"/>
        <w:numStart w:val="4"/>
      </w:endnotePr>
      <w:pgSz w:w="11907" w:h="16840" w:code="9"/>
      <w:pgMar w:top="2268" w:right="1417"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128DA" w14:textId="77777777" w:rsidR="00D17EFE" w:rsidRDefault="00D17EFE">
      <w:r>
        <w:separator/>
      </w:r>
    </w:p>
  </w:endnote>
  <w:endnote w:type="continuationSeparator" w:id="0">
    <w:p w14:paraId="3DE9B06B" w14:textId="77777777" w:rsidR="00D17EFE" w:rsidRDefault="00D1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85B84" w14:textId="77777777" w:rsidR="00D17EFE" w:rsidRPr="00043761" w:rsidRDefault="00D17EFE">
      <w:pPr>
        <w:pStyle w:val="Bulleted"/>
        <w:numPr>
          <w:ilvl w:val="0"/>
          <w:numId w:val="0"/>
        </w:numPr>
        <w:rPr>
          <w:rFonts w:ascii="Sabon" w:hAnsi="Sabon"/>
          <w:color w:val="auto"/>
          <w:szCs w:val="20"/>
        </w:rPr>
      </w:pPr>
      <w:r>
        <w:separator/>
      </w:r>
    </w:p>
  </w:footnote>
  <w:footnote w:type="continuationSeparator" w:id="0">
    <w:p w14:paraId="71DB6CA4" w14:textId="77777777" w:rsidR="00D17EFE" w:rsidRDefault="00D17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4061C" w14:textId="77777777" w:rsidR="00905A1A" w:rsidRDefault="00905A1A"/>
  <w:p w14:paraId="38DB5F1A" w14:textId="77777777" w:rsidR="00905A1A" w:rsidRDefault="00905A1A"/>
  <w:p w14:paraId="52DC36E5" w14:textId="77777777" w:rsidR="00905A1A" w:rsidRDefault="00905A1A"/>
  <w:p w14:paraId="6532CFD9" w14:textId="77777777" w:rsidR="00905A1A" w:rsidRDefault="00905A1A"/>
  <w:p w14:paraId="695C9DCF" w14:textId="77777777" w:rsidR="00905A1A" w:rsidRDefault="00905A1A"/>
  <w:p w14:paraId="211EF035" w14:textId="77777777" w:rsidR="00905A1A" w:rsidRPr="00411F67" w:rsidRDefault="00905A1A">
    <w:pPr>
      <w:rPr>
        <w:lang w:val="id-ID"/>
      </w:rPr>
    </w:pPr>
    <w:r>
      <w:rPr>
        <w:lang w:val="id-ID"/>
      </w:rPr>
      <w:t>Seminar Nasional Riset Kedokteran (SENSORIK) 2020</w:t>
    </w:r>
    <w:r w:rsidR="00D17EFE">
      <w:rPr>
        <w:lang w:val="id-ID"/>
      </w:rPr>
      <w:pict w14:anchorId="40CBB9E6">
        <v:rect id="_x0000_i1025" style="width:0;height:1.5pt" o:hralign="center" o:hrstd="t" o:hr="t" fillcolor="#a0a0a0" stroked="f"/>
      </w:pict>
    </w:r>
    <w:r>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E5E4212A"/>
    <w:lvl w:ilvl="0">
      <w:start w:val="1"/>
      <w:numFmt w:val="decimal"/>
      <w:pStyle w:val="Section"/>
      <w:suff w:val="nothing"/>
      <w:lvlText w:val="%1.  "/>
      <w:lvlJc w:val="left"/>
      <w:pPr>
        <w:ind w:left="1418"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CA49A7"/>
    <w:multiLevelType w:val="hybridMultilevel"/>
    <w:tmpl w:val="94F2A9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4712B0"/>
    <w:multiLevelType w:val="hybridMultilevel"/>
    <w:tmpl w:val="4208A75A"/>
    <w:lvl w:ilvl="0" w:tplc="1946FF4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4DA42A4"/>
    <w:multiLevelType w:val="hybridMultilevel"/>
    <w:tmpl w:val="BD642F04"/>
    <w:lvl w:ilvl="0" w:tplc="7E1EDC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8F6B5E"/>
    <w:multiLevelType w:val="hybridMultilevel"/>
    <w:tmpl w:val="A8484C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FF09B4"/>
    <w:multiLevelType w:val="multilevel"/>
    <w:tmpl w:val="3B6AAE3A"/>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A881FDD"/>
    <w:multiLevelType w:val="hybridMultilevel"/>
    <w:tmpl w:val="115097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9"/>
  </w:num>
  <w:num w:numId="2">
    <w:abstractNumId w:val="1"/>
  </w:num>
  <w:num w:numId="3">
    <w:abstractNumId w:val="0"/>
  </w:num>
  <w:num w:numId="4">
    <w:abstractNumId w:val="6"/>
  </w:num>
  <w:num w:numId="5">
    <w:abstractNumId w:val="8"/>
  </w:num>
  <w:num w:numId="6">
    <w:abstractNumId w:val="2"/>
  </w:num>
  <w:num w:numId="7">
    <w:abstractNumId w:val="7"/>
  </w:num>
  <w:num w:numId="8">
    <w:abstractNumId w:val="5"/>
  </w:num>
  <w:num w:numId="9">
    <w:abstractNumId w:val="3"/>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11F0B"/>
    <w:rsid w:val="0002224C"/>
    <w:rsid w:val="00024F97"/>
    <w:rsid w:val="00037332"/>
    <w:rsid w:val="00084B19"/>
    <w:rsid w:val="000850C5"/>
    <w:rsid w:val="000B02A3"/>
    <w:rsid w:val="000B5E2F"/>
    <w:rsid w:val="000C0F3D"/>
    <w:rsid w:val="000D188C"/>
    <w:rsid w:val="000D6C7D"/>
    <w:rsid w:val="00112FB0"/>
    <w:rsid w:val="0011435D"/>
    <w:rsid w:val="001200DD"/>
    <w:rsid w:val="0016559A"/>
    <w:rsid w:val="00187DD8"/>
    <w:rsid w:val="001A4EDC"/>
    <w:rsid w:val="001B6055"/>
    <w:rsid w:val="001C3E70"/>
    <w:rsid w:val="001D3101"/>
    <w:rsid w:val="00212257"/>
    <w:rsid w:val="00217A99"/>
    <w:rsid w:val="00224318"/>
    <w:rsid w:val="00240031"/>
    <w:rsid w:val="002415E0"/>
    <w:rsid w:val="0025466F"/>
    <w:rsid w:val="00266C5C"/>
    <w:rsid w:val="002B38BF"/>
    <w:rsid w:val="002B42FF"/>
    <w:rsid w:val="0034429C"/>
    <w:rsid w:val="00355119"/>
    <w:rsid w:val="00356724"/>
    <w:rsid w:val="0039469F"/>
    <w:rsid w:val="003E61DB"/>
    <w:rsid w:val="00411F67"/>
    <w:rsid w:val="00423B95"/>
    <w:rsid w:val="00467054"/>
    <w:rsid w:val="00475609"/>
    <w:rsid w:val="004D180A"/>
    <w:rsid w:val="004F7046"/>
    <w:rsid w:val="005158FA"/>
    <w:rsid w:val="00522456"/>
    <w:rsid w:val="00551564"/>
    <w:rsid w:val="005A7C71"/>
    <w:rsid w:val="005E0F8D"/>
    <w:rsid w:val="00603AE0"/>
    <w:rsid w:val="00626A9D"/>
    <w:rsid w:val="006576C0"/>
    <w:rsid w:val="0066480C"/>
    <w:rsid w:val="00693046"/>
    <w:rsid w:val="006F45A4"/>
    <w:rsid w:val="00733CB3"/>
    <w:rsid w:val="00771442"/>
    <w:rsid w:val="007C0A00"/>
    <w:rsid w:val="007E5054"/>
    <w:rsid w:val="007F5D48"/>
    <w:rsid w:val="007F6654"/>
    <w:rsid w:val="00874677"/>
    <w:rsid w:val="008877C6"/>
    <w:rsid w:val="008A150C"/>
    <w:rsid w:val="008A4547"/>
    <w:rsid w:val="00905A1A"/>
    <w:rsid w:val="00971519"/>
    <w:rsid w:val="00997631"/>
    <w:rsid w:val="009A0487"/>
    <w:rsid w:val="009B1FE7"/>
    <w:rsid w:val="009C4360"/>
    <w:rsid w:val="00A25D13"/>
    <w:rsid w:val="00A35613"/>
    <w:rsid w:val="00A6337B"/>
    <w:rsid w:val="00B05982"/>
    <w:rsid w:val="00B3268B"/>
    <w:rsid w:val="00B65431"/>
    <w:rsid w:val="00B83F45"/>
    <w:rsid w:val="00BA6FCC"/>
    <w:rsid w:val="00BC7C51"/>
    <w:rsid w:val="00BD7DF4"/>
    <w:rsid w:val="00C05288"/>
    <w:rsid w:val="00C43649"/>
    <w:rsid w:val="00C454AA"/>
    <w:rsid w:val="00C958D3"/>
    <w:rsid w:val="00CB3D2F"/>
    <w:rsid w:val="00CF3E5B"/>
    <w:rsid w:val="00D14E63"/>
    <w:rsid w:val="00D17EFE"/>
    <w:rsid w:val="00D206C6"/>
    <w:rsid w:val="00D4242E"/>
    <w:rsid w:val="00D637FC"/>
    <w:rsid w:val="00D7059A"/>
    <w:rsid w:val="00D8566D"/>
    <w:rsid w:val="00D961E3"/>
    <w:rsid w:val="00DD0066"/>
    <w:rsid w:val="00DE4999"/>
    <w:rsid w:val="00E636FE"/>
    <w:rsid w:val="00EA09F8"/>
    <w:rsid w:val="00EB549F"/>
    <w:rsid w:val="00EF6BE4"/>
    <w:rsid w:val="00F23201"/>
    <w:rsid w:val="00F73F13"/>
    <w:rsid w:val="00FA5C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B97AEF"/>
  <w15:docId w15:val="{DACB13C5-62A4-4A14-8FFF-9B4031EE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E636FE"/>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subsection0">
    <w:name w:val="subsection"/>
    <w:rsid w:val="00356724"/>
    <w:pPr>
      <w:numPr>
        <w:ilvl w:val="1"/>
        <w:numId w:val="7"/>
      </w:numPr>
      <w:tabs>
        <w:tab w:val="left" w:pos="567"/>
      </w:tabs>
      <w:spacing w:before="240"/>
    </w:pPr>
    <w:rPr>
      <w:rFonts w:ascii="Times" w:hAnsi="Times"/>
      <w:i/>
      <w:iCs/>
      <w:color w:val="000000"/>
      <w:sz w:val="22"/>
      <w:szCs w:val="22"/>
      <w:lang w:val="en-US" w:eastAsia="en-US"/>
    </w:rPr>
  </w:style>
  <w:style w:type="paragraph" w:customStyle="1" w:styleId="section0">
    <w:name w:val="section"/>
    <w:autoRedefine/>
    <w:rsid w:val="00356724"/>
    <w:pPr>
      <w:numPr>
        <w:numId w:val="7"/>
      </w:numPr>
      <w:tabs>
        <w:tab w:val="left" w:pos="567"/>
      </w:tabs>
      <w:spacing w:before="240"/>
    </w:pPr>
    <w:rPr>
      <w:rFonts w:ascii="Times" w:hAnsi="Times"/>
      <w:b/>
      <w:color w:val="000000"/>
      <w:sz w:val="22"/>
      <w:szCs w:val="22"/>
      <w:lang w:eastAsia="en-US"/>
    </w:rPr>
  </w:style>
  <w:style w:type="paragraph" w:customStyle="1" w:styleId="subsubsection0">
    <w:name w:val="subsubsection"/>
    <w:link w:val="subsubsectionChar0"/>
    <w:autoRedefine/>
    <w:rsid w:val="00356724"/>
    <w:pPr>
      <w:numPr>
        <w:ilvl w:val="2"/>
        <w:numId w:val="7"/>
      </w:numPr>
      <w:tabs>
        <w:tab w:val="left" w:pos="567"/>
      </w:tabs>
      <w:spacing w:before="240"/>
      <w:ind w:left="0" w:firstLine="0"/>
      <w:jc w:val="both"/>
    </w:pPr>
    <w:rPr>
      <w:rFonts w:ascii="Times" w:hAnsi="Times"/>
      <w:i/>
      <w:iCs/>
      <w:color w:val="000000"/>
      <w:sz w:val="22"/>
      <w:szCs w:val="22"/>
      <w:lang w:val="en-US" w:eastAsia="en-US"/>
    </w:rPr>
  </w:style>
  <w:style w:type="paragraph" w:customStyle="1" w:styleId="TableCaption">
    <w:name w:val="Table.Caption"/>
    <w:rsid w:val="00356724"/>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356724"/>
    <w:pPr>
      <w:jc w:val="center"/>
    </w:pPr>
  </w:style>
  <w:style w:type="paragraph" w:customStyle="1" w:styleId="StylesubsubsectionNotItalic1Char">
    <w:name w:val="Style subsubsection + Not Italic1 Char"/>
    <w:basedOn w:val="subsubsection0"/>
    <w:link w:val="StylesubsubsectionNotItalic1CharChar"/>
    <w:autoRedefine/>
    <w:rsid w:val="00356724"/>
    <w:rPr>
      <w:i w:val="0"/>
      <w:iCs w:val="0"/>
    </w:rPr>
  </w:style>
  <w:style w:type="character" w:customStyle="1" w:styleId="subsubsectionChar0">
    <w:name w:val="subsubsection Char"/>
    <w:link w:val="subsubsection0"/>
    <w:rsid w:val="00356724"/>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0"/>
    <w:link w:val="StylesubsubsectionNotItalic1Char"/>
    <w:rsid w:val="00356724"/>
    <w:rPr>
      <w:rFonts w:ascii="Times" w:hAnsi="Times"/>
      <w:i w:val="0"/>
      <w:iCs w:val="0"/>
      <w:color w:val="000000"/>
      <w:sz w:val="22"/>
      <w:szCs w:val="22"/>
      <w:lang w:val="en-US" w:eastAsia="en-US"/>
    </w:rPr>
  </w:style>
  <w:style w:type="table" w:styleId="TableGrid">
    <w:name w:val="Table Grid"/>
    <w:basedOn w:val="TableNormal"/>
    <w:uiPriority w:val="39"/>
    <w:rsid w:val="00212257"/>
    <w:rPr>
      <w:rFonts w:ascii="Calibri" w:eastAsia="Calibri" w:hAnsi="Calibri"/>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E0F8D"/>
    <w:pPr>
      <w:ind w:left="720"/>
      <w:contextualSpacing/>
    </w:pPr>
    <w:rPr>
      <w:rFonts w:ascii="Sabon" w:hAnsi="Sabon"/>
    </w:rPr>
  </w:style>
  <w:style w:type="paragraph" w:styleId="Footer">
    <w:name w:val="footer"/>
    <w:basedOn w:val="Normal"/>
    <w:link w:val="FooterChar"/>
    <w:uiPriority w:val="99"/>
    <w:unhideWhenUsed/>
    <w:rsid w:val="0034429C"/>
    <w:pPr>
      <w:tabs>
        <w:tab w:val="center" w:pos="4513"/>
        <w:tab w:val="right" w:pos="9026"/>
      </w:tabs>
    </w:pPr>
  </w:style>
  <w:style w:type="character" w:customStyle="1" w:styleId="FooterChar">
    <w:name w:val="Footer Char"/>
    <w:basedOn w:val="DefaultParagraphFont"/>
    <w:link w:val="Footer"/>
    <w:uiPriority w:val="99"/>
    <w:rsid w:val="0034429C"/>
    <w:rPr>
      <w:rFonts w:ascii="Times" w:hAnsi="Times"/>
      <w:sz w:val="22"/>
      <w:lang w:eastAsia="en-US"/>
    </w:rPr>
  </w:style>
  <w:style w:type="paragraph" w:styleId="Header">
    <w:name w:val="header"/>
    <w:basedOn w:val="Normal"/>
    <w:link w:val="HeaderChar"/>
    <w:uiPriority w:val="99"/>
    <w:unhideWhenUsed/>
    <w:rsid w:val="0034429C"/>
    <w:pPr>
      <w:tabs>
        <w:tab w:val="center" w:pos="4513"/>
        <w:tab w:val="right" w:pos="9026"/>
      </w:tabs>
    </w:pPr>
  </w:style>
  <w:style w:type="character" w:customStyle="1" w:styleId="HeaderChar">
    <w:name w:val="Header Char"/>
    <w:basedOn w:val="DefaultParagraphFont"/>
    <w:link w:val="Header"/>
    <w:uiPriority w:val="99"/>
    <w:rsid w:val="0034429C"/>
    <w:rPr>
      <w:rFonts w:ascii="Times" w:hAnsi="Times"/>
      <w:sz w:val="22"/>
      <w:lang w:eastAsia="en-US"/>
    </w:rPr>
  </w:style>
  <w:style w:type="character" w:styleId="Hyperlink">
    <w:name w:val="Hyperlink"/>
    <w:uiPriority w:val="99"/>
    <w:unhideWhenUsed/>
    <w:rsid w:val="00224318"/>
    <w:rPr>
      <w:color w:val="0563C1"/>
      <w:u w:val="single"/>
    </w:rPr>
  </w:style>
  <w:style w:type="paragraph" w:styleId="Caption">
    <w:name w:val="caption"/>
    <w:basedOn w:val="Normal"/>
    <w:next w:val="Normal"/>
    <w:uiPriority w:val="35"/>
    <w:unhideWhenUsed/>
    <w:qFormat/>
    <w:rsid w:val="00B3268B"/>
    <w:pPr>
      <w:spacing w:after="200"/>
    </w:pPr>
    <w:rPr>
      <w:rFonts w:ascii="Times New Roman" w:eastAsia="Calibri" w:hAnsi="Times New Roman"/>
      <w:i/>
      <w:iCs/>
      <w:color w:val="44546A"/>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ssa.ardia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0DEC-4FEA-4088-A016-9C274360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23</TotalTime>
  <Pages>7</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4</cp:revision>
  <cp:lastPrinted>2005-02-25T09:52:00Z</cp:lastPrinted>
  <dcterms:created xsi:type="dcterms:W3CDTF">2020-02-03T03:30:00Z</dcterms:created>
  <dcterms:modified xsi:type="dcterms:W3CDTF">2020-02-04T15:05:00Z</dcterms:modified>
</cp:coreProperties>
</file>